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D6CD8" w:rsidRDefault="000D370D">
      <w:pPr>
        <w:pBdr>
          <w:top w:val="nil"/>
          <w:left w:val="nil"/>
          <w:bottom w:val="nil"/>
          <w:right w:val="nil"/>
          <w:between w:val="nil"/>
        </w:pBdr>
        <w:tabs>
          <w:tab w:val="left" w:pos="142"/>
        </w:tabs>
        <w:spacing w:before="120"/>
        <w:ind w:left="360" w:hanging="360"/>
        <w:jc w:val="left"/>
        <w:rPr>
          <w:rFonts w:ascii="Arial" w:eastAsia="Arial" w:hAnsi="Arial"/>
          <w:b/>
          <w:sz w:val="36"/>
          <w:szCs w:val="36"/>
        </w:rPr>
      </w:pPr>
      <w:r>
        <w:rPr>
          <w:rFonts w:ascii="Arial" w:eastAsia="Arial" w:hAnsi="Arial"/>
          <w:b/>
          <w:sz w:val="36"/>
          <w:szCs w:val="36"/>
        </w:rPr>
        <w:t>Order Schedule 25 (Billable Works and Projects)</w:t>
      </w:r>
    </w:p>
    <w:p w14:paraId="00000002" w14:textId="77777777" w:rsidR="004D6CD8" w:rsidRDefault="000D370D" w:rsidP="008E7BE5">
      <w:pPr>
        <w:numPr>
          <w:ilvl w:val="0"/>
          <w:numId w:val="1"/>
        </w:numPr>
        <w:pBdr>
          <w:top w:val="nil"/>
          <w:left w:val="nil"/>
          <w:bottom w:val="nil"/>
          <w:right w:val="nil"/>
          <w:between w:val="nil"/>
        </w:pBdr>
        <w:spacing w:before="120" w:after="120"/>
        <w:ind w:left="993" w:hanging="993"/>
        <w:rPr>
          <w:rFonts w:ascii="Arial" w:eastAsia="Arial" w:hAnsi="Arial"/>
          <w:b/>
          <w:sz w:val="24"/>
          <w:szCs w:val="24"/>
        </w:rPr>
      </w:pPr>
      <w:r>
        <w:rPr>
          <w:rFonts w:ascii="Arial" w:eastAsia="Arial" w:hAnsi="Arial"/>
          <w:b/>
          <w:sz w:val="24"/>
          <w:szCs w:val="24"/>
        </w:rPr>
        <w:t>Introduction</w:t>
      </w:r>
    </w:p>
    <w:p w14:paraId="00000003" w14:textId="4A9E4726" w:rsidR="004D6CD8" w:rsidRDefault="000D370D" w:rsidP="008E7BE5">
      <w:pPr>
        <w:numPr>
          <w:ilvl w:val="1"/>
          <w:numId w:val="1"/>
        </w:numPr>
        <w:pBdr>
          <w:top w:val="nil"/>
          <w:left w:val="nil"/>
          <w:bottom w:val="nil"/>
          <w:right w:val="nil"/>
          <w:between w:val="nil"/>
        </w:pBdr>
        <w:spacing w:before="120" w:after="120"/>
        <w:ind w:left="993" w:hanging="1004"/>
        <w:rPr>
          <w:rFonts w:ascii="Arial" w:eastAsia="Arial" w:hAnsi="Arial"/>
          <w:sz w:val="24"/>
          <w:szCs w:val="24"/>
        </w:rPr>
      </w:pPr>
      <w:r>
        <w:rPr>
          <w:rFonts w:ascii="Arial" w:eastAsia="Arial" w:hAnsi="Arial"/>
          <w:color w:val="000000"/>
          <w:sz w:val="24"/>
          <w:szCs w:val="24"/>
        </w:rPr>
        <w:t>This schedule prescribes the procedure, calculations and rates to be used by the Buyer and Supplier when assessing the Charges for Billable Works and Projects.</w:t>
      </w:r>
    </w:p>
    <w:p w14:paraId="00000004" w14:textId="762FDBD7" w:rsidR="004D6CD8" w:rsidRPr="00CC4113" w:rsidRDefault="000D370D" w:rsidP="008E7BE5">
      <w:pPr>
        <w:numPr>
          <w:ilvl w:val="1"/>
          <w:numId w:val="1"/>
        </w:numPr>
        <w:pBdr>
          <w:top w:val="nil"/>
          <w:left w:val="nil"/>
          <w:bottom w:val="nil"/>
          <w:right w:val="nil"/>
          <w:between w:val="nil"/>
        </w:pBdr>
        <w:spacing w:before="120" w:after="120"/>
        <w:ind w:left="993" w:hanging="1004"/>
        <w:rPr>
          <w:rFonts w:ascii="Arial" w:eastAsia="Arial" w:hAnsi="Arial"/>
          <w:sz w:val="24"/>
          <w:szCs w:val="24"/>
        </w:rPr>
      </w:pPr>
      <w:r>
        <w:rPr>
          <w:rFonts w:ascii="Arial" w:eastAsia="Arial" w:hAnsi="Arial"/>
          <w:color w:val="000000"/>
          <w:sz w:val="24"/>
          <w:szCs w:val="24"/>
        </w:rPr>
        <w:t xml:space="preserve">For the avoidance of doubt, nothing in this Schedule shall give the Supplier exclusive rights over Billable Works and Projects and the Buyer shall not be </w:t>
      </w:r>
      <w:r>
        <w:rPr>
          <w:rFonts w:ascii="Arial" w:eastAsia="Arial" w:hAnsi="Arial"/>
          <w:sz w:val="24"/>
          <w:szCs w:val="24"/>
        </w:rPr>
        <w:t>mandated</w:t>
      </w:r>
      <w:r>
        <w:rPr>
          <w:rFonts w:ascii="Arial" w:eastAsia="Arial" w:hAnsi="Arial"/>
          <w:color w:val="000000"/>
          <w:sz w:val="24"/>
          <w:szCs w:val="24"/>
        </w:rPr>
        <w:t xml:space="preserve"> to order Billable Works or Projects from the Supplier, and shall be entitled to order Billable Works and Projects from other </w:t>
      </w:r>
      <w:r w:rsidR="006E16E4">
        <w:rPr>
          <w:rFonts w:ascii="Arial" w:eastAsia="Arial" w:hAnsi="Arial"/>
          <w:color w:val="000000"/>
          <w:sz w:val="24"/>
          <w:szCs w:val="24"/>
        </w:rPr>
        <w:t>s</w:t>
      </w:r>
      <w:r>
        <w:rPr>
          <w:rFonts w:ascii="Arial" w:eastAsia="Arial" w:hAnsi="Arial"/>
          <w:color w:val="000000"/>
          <w:sz w:val="24"/>
          <w:szCs w:val="24"/>
        </w:rPr>
        <w:t>uppliers.</w:t>
      </w:r>
    </w:p>
    <w:p w14:paraId="00000006" w14:textId="77777777" w:rsidR="004D6CD8" w:rsidRDefault="000D370D" w:rsidP="008E7BE5">
      <w:pPr>
        <w:numPr>
          <w:ilvl w:val="0"/>
          <w:numId w:val="1"/>
        </w:numPr>
        <w:pBdr>
          <w:top w:val="nil"/>
          <w:left w:val="nil"/>
          <w:bottom w:val="nil"/>
          <w:right w:val="nil"/>
          <w:between w:val="nil"/>
        </w:pBdr>
        <w:spacing w:before="120" w:after="120"/>
        <w:ind w:left="993" w:hanging="993"/>
        <w:rPr>
          <w:rFonts w:ascii="Arial" w:eastAsia="Arial" w:hAnsi="Arial"/>
          <w:b/>
          <w:sz w:val="24"/>
          <w:szCs w:val="24"/>
        </w:rPr>
      </w:pPr>
      <w:r>
        <w:rPr>
          <w:rFonts w:ascii="Arial" w:eastAsia="Arial" w:hAnsi="Arial"/>
          <w:b/>
          <w:sz w:val="24"/>
          <w:szCs w:val="24"/>
        </w:rPr>
        <w:t>Billable Works</w:t>
      </w:r>
    </w:p>
    <w:p w14:paraId="00000007" w14:textId="77777777" w:rsidR="004D6CD8" w:rsidRDefault="000D370D" w:rsidP="008E7BE5">
      <w:pPr>
        <w:numPr>
          <w:ilvl w:val="1"/>
          <w:numId w:val="1"/>
        </w:numPr>
        <w:pBdr>
          <w:top w:val="nil"/>
          <w:left w:val="nil"/>
          <w:bottom w:val="nil"/>
          <w:right w:val="nil"/>
          <w:between w:val="nil"/>
        </w:pBdr>
        <w:spacing w:before="120" w:after="120"/>
        <w:ind w:left="993" w:hanging="1004"/>
        <w:rPr>
          <w:rFonts w:ascii="Arial" w:eastAsia="Arial" w:hAnsi="Arial"/>
          <w:color w:val="000000"/>
          <w:sz w:val="24"/>
          <w:szCs w:val="24"/>
        </w:rPr>
      </w:pPr>
      <w:r w:rsidRPr="008E7BE5">
        <w:rPr>
          <w:rFonts w:ascii="Arial" w:eastAsia="Arial" w:hAnsi="Arial"/>
          <w:color w:val="000000"/>
          <w:sz w:val="24"/>
          <w:szCs w:val="24"/>
        </w:rPr>
        <w:t>The Billable Works Management Uplift Percentage shall be applied against the cost of the Billable Works.</w:t>
      </w:r>
    </w:p>
    <w:p w14:paraId="00000009" w14:textId="77777777" w:rsidR="004D6CD8" w:rsidRDefault="000D370D" w:rsidP="008E7BE5">
      <w:pPr>
        <w:numPr>
          <w:ilvl w:val="1"/>
          <w:numId w:val="1"/>
        </w:numPr>
        <w:pBdr>
          <w:top w:val="nil"/>
          <w:left w:val="nil"/>
          <w:bottom w:val="nil"/>
          <w:right w:val="nil"/>
          <w:between w:val="nil"/>
        </w:pBdr>
        <w:spacing w:before="120" w:after="120"/>
        <w:ind w:left="993" w:hanging="1004"/>
        <w:rPr>
          <w:rFonts w:ascii="Arial" w:eastAsia="Arial" w:hAnsi="Arial"/>
          <w:color w:val="000000"/>
          <w:sz w:val="24"/>
          <w:szCs w:val="24"/>
        </w:rPr>
      </w:pPr>
      <w:r w:rsidRPr="008E7BE5">
        <w:rPr>
          <w:rFonts w:ascii="Arial" w:eastAsia="Arial" w:hAnsi="Arial"/>
          <w:color w:val="000000"/>
          <w:sz w:val="24"/>
          <w:szCs w:val="24"/>
        </w:rPr>
        <w:t>The Billable Works Management Uplift Percentage shall include the costs of:</w:t>
      </w:r>
    </w:p>
    <w:p w14:paraId="0000000A" w14:textId="77777777" w:rsidR="004D6CD8" w:rsidRDefault="004D6CD8" w:rsidP="008E7BE5">
      <w:pPr>
        <w:pBdr>
          <w:top w:val="nil"/>
          <w:left w:val="nil"/>
          <w:bottom w:val="nil"/>
          <w:right w:val="nil"/>
          <w:between w:val="nil"/>
        </w:pBdr>
        <w:spacing w:after="0"/>
        <w:ind w:left="720"/>
        <w:rPr>
          <w:rFonts w:ascii="Arial" w:eastAsia="Arial" w:hAnsi="Arial"/>
          <w:color w:val="222222"/>
          <w:sz w:val="24"/>
          <w:szCs w:val="24"/>
        </w:rPr>
      </w:pPr>
    </w:p>
    <w:p w14:paraId="0000000B" w14:textId="22862C0E" w:rsidR="004D6CD8" w:rsidRDefault="000D370D" w:rsidP="008E7BE5">
      <w:pPr>
        <w:numPr>
          <w:ilvl w:val="2"/>
          <w:numId w:val="1"/>
        </w:numPr>
        <w:pBdr>
          <w:top w:val="nil"/>
          <w:left w:val="nil"/>
          <w:bottom w:val="nil"/>
          <w:right w:val="nil"/>
          <w:between w:val="nil"/>
        </w:pBdr>
        <w:spacing w:after="200"/>
        <w:ind w:left="2268" w:hanging="1275"/>
        <w:rPr>
          <w:rFonts w:ascii="Arial" w:eastAsia="Arial" w:hAnsi="Arial"/>
          <w:sz w:val="24"/>
          <w:szCs w:val="24"/>
        </w:rPr>
      </w:pPr>
      <w:bookmarkStart w:id="0" w:name="_heading=h.2et92p0" w:colFirst="0" w:colLast="0"/>
      <w:bookmarkEnd w:id="0"/>
      <w:r>
        <w:rPr>
          <w:rFonts w:ascii="Arial" w:eastAsia="Arial" w:hAnsi="Arial"/>
          <w:color w:val="222222"/>
          <w:sz w:val="24"/>
          <w:szCs w:val="24"/>
          <w:highlight w:val="white"/>
        </w:rPr>
        <w:t>processing and managing the quotation/tenders within each tier as per the Buyer</w:t>
      </w:r>
      <w:r w:rsidR="00165B08">
        <w:rPr>
          <w:rFonts w:ascii="Arial" w:eastAsia="Arial" w:hAnsi="Arial"/>
          <w:color w:val="222222"/>
          <w:sz w:val="24"/>
          <w:szCs w:val="24"/>
          <w:highlight w:val="white"/>
        </w:rPr>
        <w:t>'</w:t>
      </w:r>
      <w:r>
        <w:rPr>
          <w:rFonts w:ascii="Arial" w:eastAsia="Arial" w:hAnsi="Arial"/>
          <w:color w:val="222222"/>
          <w:sz w:val="24"/>
          <w:szCs w:val="24"/>
          <w:highlight w:val="white"/>
        </w:rPr>
        <w:t>s process;</w:t>
      </w:r>
    </w:p>
    <w:p w14:paraId="0000000C" w14:textId="77777777" w:rsidR="004D6CD8" w:rsidRDefault="000D370D" w:rsidP="008E7BE5">
      <w:pPr>
        <w:numPr>
          <w:ilvl w:val="2"/>
          <w:numId w:val="1"/>
        </w:numPr>
        <w:pBdr>
          <w:top w:val="nil"/>
          <w:left w:val="nil"/>
          <w:bottom w:val="nil"/>
          <w:right w:val="nil"/>
          <w:between w:val="nil"/>
        </w:pBdr>
        <w:spacing w:after="200"/>
        <w:ind w:left="2268" w:hanging="1275"/>
        <w:rPr>
          <w:rFonts w:ascii="Arial" w:eastAsia="Arial" w:hAnsi="Arial"/>
          <w:sz w:val="24"/>
          <w:szCs w:val="24"/>
        </w:rPr>
      </w:pPr>
      <w:r>
        <w:rPr>
          <w:rFonts w:ascii="Arial" w:eastAsia="Arial" w:hAnsi="Arial"/>
          <w:color w:val="222222"/>
          <w:sz w:val="24"/>
          <w:szCs w:val="24"/>
          <w:highlight w:val="white"/>
        </w:rPr>
        <w:t>management of works;</w:t>
      </w:r>
    </w:p>
    <w:p w14:paraId="0000000D" w14:textId="42BECAC8" w:rsidR="004D6CD8" w:rsidRDefault="000D370D" w:rsidP="008E7BE5">
      <w:pPr>
        <w:numPr>
          <w:ilvl w:val="2"/>
          <w:numId w:val="1"/>
        </w:numPr>
        <w:pBdr>
          <w:top w:val="nil"/>
          <w:left w:val="nil"/>
          <w:bottom w:val="nil"/>
          <w:right w:val="nil"/>
          <w:between w:val="nil"/>
        </w:pBdr>
        <w:spacing w:after="200"/>
        <w:ind w:left="2268" w:hanging="1275"/>
        <w:rPr>
          <w:rFonts w:ascii="Arial" w:eastAsia="Arial" w:hAnsi="Arial"/>
          <w:sz w:val="24"/>
          <w:szCs w:val="24"/>
        </w:rPr>
      </w:pPr>
      <w:bookmarkStart w:id="1" w:name="_heading=h.gjdgxs" w:colFirst="0" w:colLast="0"/>
      <w:bookmarkEnd w:id="1"/>
      <w:r>
        <w:rPr>
          <w:rFonts w:ascii="Arial" w:eastAsia="Arial" w:hAnsi="Arial"/>
          <w:color w:val="222222"/>
          <w:sz w:val="24"/>
          <w:szCs w:val="24"/>
          <w:highlight w:val="white"/>
        </w:rPr>
        <w:t xml:space="preserve">management of </w:t>
      </w:r>
      <w:r w:rsidR="00165B08">
        <w:rPr>
          <w:rFonts w:ascii="Arial" w:eastAsia="Arial" w:hAnsi="Arial"/>
          <w:color w:val="222222"/>
          <w:sz w:val="24"/>
          <w:szCs w:val="24"/>
          <w:highlight w:val="white"/>
        </w:rPr>
        <w:t>S</w:t>
      </w:r>
      <w:r>
        <w:rPr>
          <w:rFonts w:ascii="Arial" w:eastAsia="Arial" w:hAnsi="Arial"/>
          <w:color w:val="222222"/>
          <w:sz w:val="24"/>
          <w:szCs w:val="24"/>
          <w:highlight w:val="white"/>
        </w:rPr>
        <w:t>ubcontractors</w:t>
      </w:r>
      <w:r>
        <w:rPr>
          <w:rFonts w:ascii="Arial" w:eastAsia="Arial" w:hAnsi="Arial"/>
          <w:color w:val="222222"/>
          <w:sz w:val="24"/>
          <w:szCs w:val="24"/>
        </w:rPr>
        <w:t xml:space="preserve"> (where applicable); and</w:t>
      </w:r>
    </w:p>
    <w:p w14:paraId="0000000E" w14:textId="77777777" w:rsidR="004D6CD8" w:rsidRDefault="000D370D" w:rsidP="008E7BE5">
      <w:pPr>
        <w:numPr>
          <w:ilvl w:val="2"/>
          <w:numId w:val="1"/>
        </w:numPr>
        <w:pBdr>
          <w:top w:val="nil"/>
          <w:left w:val="nil"/>
          <w:bottom w:val="nil"/>
          <w:right w:val="nil"/>
          <w:between w:val="nil"/>
        </w:pBdr>
        <w:spacing w:after="200"/>
        <w:ind w:left="2268" w:hanging="1275"/>
        <w:rPr>
          <w:rFonts w:ascii="Arial" w:eastAsia="Arial" w:hAnsi="Arial"/>
          <w:sz w:val="24"/>
          <w:szCs w:val="24"/>
        </w:rPr>
      </w:pPr>
      <w:bookmarkStart w:id="2" w:name="_heading=h.3dy6vkm" w:colFirst="0" w:colLast="0"/>
      <w:bookmarkEnd w:id="2"/>
      <w:r>
        <w:rPr>
          <w:rFonts w:ascii="Arial" w:eastAsia="Arial" w:hAnsi="Arial"/>
          <w:color w:val="222222"/>
          <w:sz w:val="24"/>
          <w:szCs w:val="24"/>
        </w:rPr>
        <w:t xml:space="preserve">day to day administration. </w:t>
      </w:r>
    </w:p>
    <w:p w14:paraId="0000000F" w14:textId="77777777" w:rsidR="004D6CD8" w:rsidRDefault="004D6CD8" w:rsidP="008E7BE5">
      <w:pPr>
        <w:pBdr>
          <w:top w:val="nil"/>
          <w:left w:val="nil"/>
          <w:bottom w:val="nil"/>
          <w:right w:val="nil"/>
          <w:between w:val="nil"/>
        </w:pBdr>
        <w:spacing w:after="0"/>
        <w:ind w:left="1656"/>
        <w:rPr>
          <w:rFonts w:ascii="Arial" w:eastAsia="Arial" w:hAnsi="Arial"/>
          <w:sz w:val="24"/>
          <w:szCs w:val="24"/>
        </w:rPr>
      </w:pPr>
    </w:p>
    <w:p w14:paraId="00000010" w14:textId="034BF0F6" w:rsidR="004D6CD8" w:rsidRDefault="000D370D" w:rsidP="008E7BE5">
      <w:pPr>
        <w:numPr>
          <w:ilvl w:val="1"/>
          <w:numId w:val="1"/>
        </w:numPr>
        <w:pBdr>
          <w:top w:val="nil"/>
          <w:left w:val="nil"/>
          <w:bottom w:val="nil"/>
          <w:right w:val="nil"/>
          <w:between w:val="nil"/>
        </w:pBdr>
        <w:spacing w:before="120" w:after="120"/>
        <w:ind w:left="993" w:hanging="1004"/>
        <w:rPr>
          <w:rFonts w:ascii="Arial" w:eastAsia="Arial" w:hAnsi="Arial"/>
          <w:sz w:val="24"/>
          <w:szCs w:val="24"/>
        </w:rPr>
      </w:pPr>
      <w:r>
        <w:rPr>
          <w:rFonts w:ascii="Arial" w:eastAsia="Arial" w:hAnsi="Arial"/>
          <w:color w:val="222222"/>
          <w:sz w:val="24"/>
          <w:szCs w:val="24"/>
        </w:rPr>
        <w:t xml:space="preserve">The Billable Works Management Uplift Percentage shall exclude any service </w:t>
      </w:r>
      <w:r w:rsidRPr="008E7BE5">
        <w:rPr>
          <w:rFonts w:ascii="Arial" w:eastAsia="Arial" w:hAnsi="Arial"/>
          <w:color w:val="000000"/>
          <w:sz w:val="24"/>
          <w:szCs w:val="24"/>
        </w:rPr>
        <w:t>delivery</w:t>
      </w:r>
      <w:r>
        <w:rPr>
          <w:rFonts w:ascii="Arial" w:eastAsia="Arial" w:hAnsi="Arial"/>
          <w:color w:val="222222"/>
          <w:sz w:val="24"/>
          <w:szCs w:val="24"/>
        </w:rPr>
        <w:t xml:space="preserve"> costs which are expected to be included in the pricing of the </w:t>
      </w:r>
      <w:r w:rsidR="00725C03">
        <w:rPr>
          <w:rFonts w:ascii="Arial" w:eastAsia="Arial" w:hAnsi="Arial"/>
          <w:color w:val="222222"/>
          <w:sz w:val="24"/>
          <w:szCs w:val="24"/>
        </w:rPr>
        <w:t>Billable W</w:t>
      </w:r>
      <w:r>
        <w:rPr>
          <w:rFonts w:ascii="Arial" w:eastAsia="Arial" w:hAnsi="Arial"/>
          <w:color w:val="222222"/>
          <w:sz w:val="24"/>
          <w:szCs w:val="24"/>
        </w:rPr>
        <w:t>orks.</w:t>
      </w:r>
    </w:p>
    <w:p w14:paraId="00000011" w14:textId="77777777" w:rsidR="004D6CD8" w:rsidRDefault="000D370D" w:rsidP="008E7BE5">
      <w:pPr>
        <w:numPr>
          <w:ilvl w:val="1"/>
          <w:numId w:val="1"/>
        </w:numPr>
        <w:pBdr>
          <w:top w:val="nil"/>
          <w:left w:val="nil"/>
          <w:bottom w:val="nil"/>
          <w:right w:val="nil"/>
          <w:between w:val="nil"/>
        </w:pBdr>
        <w:spacing w:before="120" w:after="120"/>
        <w:ind w:left="993" w:hanging="1004"/>
        <w:rPr>
          <w:rFonts w:ascii="Arial" w:eastAsia="Arial" w:hAnsi="Arial"/>
          <w:sz w:val="24"/>
          <w:szCs w:val="24"/>
        </w:rPr>
      </w:pPr>
      <w:r>
        <w:rPr>
          <w:rFonts w:ascii="Arial" w:eastAsia="Arial" w:hAnsi="Arial"/>
          <w:color w:val="000000"/>
          <w:sz w:val="24"/>
          <w:szCs w:val="24"/>
        </w:rPr>
        <w:t xml:space="preserve">All Billable Works shall </w:t>
      </w:r>
      <w:r w:rsidRPr="008E7BE5">
        <w:rPr>
          <w:rFonts w:ascii="Arial" w:eastAsia="Arial" w:hAnsi="Arial"/>
          <w:color w:val="222222"/>
          <w:sz w:val="24"/>
          <w:szCs w:val="24"/>
        </w:rPr>
        <w:t>be</w:t>
      </w:r>
      <w:r>
        <w:rPr>
          <w:rFonts w:ascii="Arial" w:eastAsia="Arial" w:hAnsi="Arial"/>
          <w:color w:val="000000"/>
          <w:sz w:val="24"/>
          <w:szCs w:val="24"/>
        </w:rPr>
        <w:t xml:space="preserve"> authorised in accordance with the Billable Works and Approvals Process (see annex 1).  The Buyer may at its discretion require Billable Works to be:</w:t>
      </w:r>
    </w:p>
    <w:p w14:paraId="00000012" w14:textId="77777777"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managed and executed by the Supplier;</w:t>
      </w:r>
    </w:p>
    <w:p w14:paraId="00000013" w14:textId="77777777"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managed by a third party nominated by the Buyer and executed by the Supplier; </w:t>
      </w:r>
    </w:p>
    <w:p w14:paraId="00000014" w14:textId="77777777"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managed by the Supplier and executed by any third party nominated by the Buyer.</w:t>
      </w:r>
    </w:p>
    <w:p w14:paraId="00000015" w14:textId="77777777" w:rsidR="004D6CD8" w:rsidRDefault="000D370D" w:rsidP="008E7BE5">
      <w:pPr>
        <w:numPr>
          <w:ilvl w:val="1"/>
          <w:numId w:val="1"/>
        </w:numPr>
        <w:pBdr>
          <w:top w:val="nil"/>
          <w:left w:val="nil"/>
          <w:bottom w:val="nil"/>
          <w:right w:val="nil"/>
          <w:between w:val="nil"/>
        </w:pBdr>
        <w:spacing w:before="120" w:after="120"/>
        <w:ind w:left="993" w:hanging="1004"/>
        <w:rPr>
          <w:rFonts w:ascii="Arial" w:eastAsia="Arial" w:hAnsi="Arial"/>
          <w:sz w:val="24"/>
          <w:szCs w:val="24"/>
        </w:rPr>
      </w:pPr>
      <w:bookmarkStart w:id="3" w:name="_heading=h.1t3h5sf" w:colFirst="0" w:colLast="0"/>
      <w:bookmarkEnd w:id="3"/>
      <w:r>
        <w:rPr>
          <w:rFonts w:ascii="Arial" w:eastAsia="Arial" w:hAnsi="Arial"/>
          <w:color w:val="000000"/>
          <w:sz w:val="24"/>
          <w:szCs w:val="24"/>
        </w:rPr>
        <w:t>Any estimate/quotation for Billable Works shall breakdown the costs in the categories below:</w:t>
      </w:r>
    </w:p>
    <w:p w14:paraId="00000016" w14:textId="77777777"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labour;</w:t>
      </w:r>
    </w:p>
    <w:p w14:paraId="00000017" w14:textId="77777777"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parts;</w:t>
      </w:r>
    </w:p>
    <w:p w14:paraId="00000018" w14:textId="77777777"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replacement Assets; </w:t>
      </w:r>
    </w:p>
    <w:p w14:paraId="00000019" w14:textId="77777777"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lastRenderedPageBreak/>
        <w:t xml:space="preserve">materials; </w:t>
      </w:r>
    </w:p>
    <w:p w14:paraId="0000001A" w14:textId="1367C604"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bookmarkStart w:id="4" w:name="_Ref157607431"/>
      <w:r w:rsidRPr="008E7BE5">
        <w:rPr>
          <w:rFonts w:ascii="Arial" w:eastAsia="Arial" w:hAnsi="Arial"/>
          <w:color w:val="222222"/>
          <w:sz w:val="24"/>
          <w:szCs w:val="24"/>
          <w:highlight w:val="white"/>
        </w:rPr>
        <w:t>such other applicable cost categories as the Buyer may notify the Supplier from time to time</w:t>
      </w:r>
      <w:r w:rsidR="00725C03" w:rsidRPr="008E7BE5">
        <w:rPr>
          <w:rFonts w:ascii="Arial" w:eastAsia="Arial" w:hAnsi="Arial"/>
          <w:color w:val="222222"/>
          <w:sz w:val="24"/>
          <w:szCs w:val="24"/>
          <w:highlight w:val="white"/>
        </w:rPr>
        <w:t>;</w:t>
      </w:r>
      <w:bookmarkEnd w:id="4"/>
      <w:r w:rsidR="00725C03" w:rsidRPr="008E7BE5">
        <w:rPr>
          <w:rFonts w:ascii="Arial" w:eastAsia="Arial" w:hAnsi="Arial"/>
          <w:color w:val="222222"/>
          <w:sz w:val="24"/>
          <w:szCs w:val="24"/>
          <w:highlight w:val="white"/>
        </w:rPr>
        <w:t xml:space="preserve"> </w:t>
      </w:r>
      <w:r w:rsidRPr="008E7BE5">
        <w:rPr>
          <w:rFonts w:ascii="Arial" w:eastAsia="Arial" w:hAnsi="Arial"/>
          <w:color w:val="222222"/>
          <w:sz w:val="24"/>
          <w:szCs w:val="24"/>
          <w:highlight w:val="white"/>
        </w:rPr>
        <w:t xml:space="preserve"> </w:t>
      </w:r>
    </w:p>
    <w:p w14:paraId="0000001B" w14:textId="239519CC"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bookmarkStart w:id="5" w:name="_Ref157607439"/>
      <w:r w:rsidRPr="008E7BE5">
        <w:rPr>
          <w:rFonts w:ascii="Arial" w:eastAsia="Arial" w:hAnsi="Arial"/>
          <w:color w:val="222222"/>
          <w:sz w:val="24"/>
          <w:szCs w:val="24"/>
          <w:highlight w:val="white"/>
        </w:rPr>
        <w:t xml:space="preserve">relevant Billable Works Management Uplift Percentage (which includes Overhead); </w:t>
      </w:r>
      <w:r w:rsidR="00725C03" w:rsidRPr="008E7BE5">
        <w:rPr>
          <w:rFonts w:ascii="Arial" w:eastAsia="Arial" w:hAnsi="Arial"/>
          <w:color w:val="222222"/>
          <w:sz w:val="24"/>
          <w:szCs w:val="24"/>
          <w:highlight w:val="white"/>
        </w:rPr>
        <w:t>and</w:t>
      </w:r>
      <w:bookmarkEnd w:id="5"/>
    </w:p>
    <w:p w14:paraId="53CADED8" w14:textId="6B199D92" w:rsidR="00172B0E" w:rsidRPr="00172B0E" w:rsidRDefault="000D370D" w:rsidP="00172B0E">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bookmarkStart w:id="6" w:name="_Ref157607444"/>
      <w:r w:rsidRPr="008E7BE5">
        <w:rPr>
          <w:rFonts w:ascii="Arial" w:eastAsia="Arial" w:hAnsi="Arial"/>
          <w:color w:val="222222"/>
          <w:sz w:val="24"/>
          <w:szCs w:val="24"/>
          <w:highlight w:val="white"/>
        </w:rPr>
        <w:t>profit</w:t>
      </w:r>
      <w:r w:rsidR="00725C03" w:rsidRPr="008E7BE5">
        <w:rPr>
          <w:rFonts w:ascii="Arial" w:eastAsia="Arial" w:hAnsi="Arial"/>
          <w:color w:val="222222"/>
          <w:sz w:val="24"/>
          <w:szCs w:val="24"/>
          <w:highlight w:val="white"/>
        </w:rPr>
        <w:t>.</w:t>
      </w:r>
      <w:bookmarkEnd w:id="6"/>
      <w:r w:rsidRPr="008E7BE5">
        <w:rPr>
          <w:rFonts w:ascii="Arial" w:eastAsia="Arial" w:hAnsi="Arial"/>
          <w:color w:val="222222"/>
          <w:sz w:val="24"/>
          <w:szCs w:val="24"/>
          <w:highlight w:val="white"/>
        </w:rPr>
        <w:t xml:space="preserve"> </w:t>
      </w:r>
      <w:r w:rsidR="00172B0E" w:rsidRPr="00172B0E">
        <w:rPr>
          <w:rFonts w:ascii="Arial" w:eastAsia="Arial" w:hAnsi="Arial"/>
          <w:color w:val="222222"/>
          <w:sz w:val="24"/>
          <w:szCs w:val="24"/>
          <w:highlight w:val="white"/>
        </w:rPr>
        <w:t xml:space="preserve"> </w:t>
      </w:r>
    </w:p>
    <w:p w14:paraId="0000001E" w14:textId="77777777" w:rsidR="004D6CD8" w:rsidRDefault="000D370D" w:rsidP="008E7BE5">
      <w:pPr>
        <w:numPr>
          <w:ilvl w:val="1"/>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Pr>
          <w:rFonts w:ascii="Arial" w:eastAsia="Arial" w:hAnsi="Arial"/>
          <w:color w:val="000000"/>
          <w:sz w:val="24"/>
          <w:szCs w:val="24"/>
        </w:rPr>
        <w:t>Where Billable Works are delivered directly via the Supplier’s appointed Sub</w:t>
      </w:r>
      <w:r>
        <w:rPr>
          <w:rFonts w:ascii="Arial" w:eastAsia="Arial" w:hAnsi="Arial"/>
          <w:sz w:val="24"/>
          <w:szCs w:val="24"/>
        </w:rPr>
        <w:t>c</w:t>
      </w:r>
      <w:r>
        <w:rPr>
          <w:rFonts w:ascii="Arial" w:eastAsia="Arial" w:hAnsi="Arial"/>
          <w:color w:val="000000"/>
          <w:sz w:val="24"/>
          <w:szCs w:val="24"/>
        </w:rPr>
        <w:t>ontractor the estimate/quotation shall breakdown the cost categories as per 2.5.1 – 2.5.7 and shall also include:</w:t>
      </w:r>
    </w:p>
    <w:p w14:paraId="0000001F" w14:textId="4FB2A98A"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Subcontractor name</w:t>
      </w:r>
      <w:r w:rsidR="00725C03" w:rsidRPr="008E7BE5">
        <w:rPr>
          <w:rFonts w:ascii="Arial" w:eastAsia="Arial" w:hAnsi="Arial"/>
          <w:color w:val="222222"/>
          <w:sz w:val="24"/>
          <w:szCs w:val="24"/>
          <w:highlight w:val="white"/>
        </w:rPr>
        <w:t>; and</w:t>
      </w:r>
    </w:p>
    <w:p w14:paraId="00000020" w14:textId="4BBD1150" w:rsidR="004D6CD8" w:rsidRPr="008E7BE5" w:rsidRDefault="000D370D" w:rsidP="008E7BE5">
      <w:pPr>
        <w:numPr>
          <w:ilvl w:val="2"/>
          <w:numId w:val="1"/>
        </w:numPr>
        <w:pBdr>
          <w:top w:val="nil"/>
          <w:left w:val="nil"/>
          <w:bottom w:val="nil"/>
          <w:right w:val="nil"/>
          <w:between w:val="nil"/>
        </w:pBdr>
        <w:spacing w:after="200"/>
        <w:ind w:left="2268" w:hanging="1275"/>
        <w:rPr>
          <w:rFonts w:ascii="Arial" w:eastAsia="Arial" w:hAnsi="Arial"/>
          <w:color w:val="222222"/>
          <w:sz w:val="24"/>
          <w:szCs w:val="24"/>
          <w:highlight w:val="white"/>
        </w:rPr>
      </w:pPr>
      <w:r w:rsidRPr="008E7BE5">
        <w:rPr>
          <w:rFonts w:ascii="Arial" w:eastAsia="Arial" w:hAnsi="Arial"/>
          <w:color w:val="222222"/>
          <w:sz w:val="24"/>
          <w:szCs w:val="24"/>
          <w:highlight w:val="white"/>
        </w:rPr>
        <w:t>Subcontractor total cost (including Subcontractors profit and overhead)</w:t>
      </w:r>
      <w:r w:rsidR="00725C03" w:rsidRPr="008E7BE5">
        <w:rPr>
          <w:rFonts w:ascii="Arial" w:eastAsia="Arial" w:hAnsi="Arial"/>
          <w:color w:val="222222"/>
          <w:sz w:val="24"/>
          <w:szCs w:val="24"/>
          <w:highlight w:val="white"/>
        </w:rPr>
        <w:t>.</w:t>
      </w:r>
    </w:p>
    <w:p w14:paraId="00000021" w14:textId="77777777" w:rsidR="004D6CD8" w:rsidRDefault="000D370D" w:rsidP="008E7BE5">
      <w:pPr>
        <w:numPr>
          <w:ilvl w:val="1"/>
          <w:numId w:val="1"/>
        </w:numPr>
        <w:pBdr>
          <w:top w:val="nil"/>
          <w:left w:val="nil"/>
          <w:bottom w:val="nil"/>
          <w:right w:val="nil"/>
          <w:between w:val="nil"/>
        </w:pBdr>
        <w:tabs>
          <w:tab w:val="left" w:pos="1985"/>
          <w:tab w:val="left" w:pos="2127"/>
        </w:tabs>
        <w:spacing w:before="120" w:after="120"/>
        <w:rPr>
          <w:rFonts w:ascii="Arial" w:eastAsia="Arial" w:hAnsi="Arial"/>
        </w:rPr>
      </w:pPr>
      <w:bookmarkStart w:id="7" w:name="_Ref157607456"/>
      <w:r>
        <w:rPr>
          <w:rFonts w:ascii="Arial" w:eastAsia="Arial" w:hAnsi="Arial"/>
          <w:sz w:val="24"/>
          <w:szCs w:val="24"/>
        </w:rPr>
        <w:t>The application of the Billable Works Management Uplift Percentage and Profit percentages shall be as follows:</w:t>
      </w:r>
      <w:bookmarkEnd w:id="7"/>
    </w:p>
    <w:p w14:paraId="00000022"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Calculate sum total of costs defined in paragraph 2.5.1 – 2.5.5</w:t>
      </w:r>
    </w:p>
    <w:p w14:paraId="00000023"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Apply Billable Works Management Uplift Percentage as per 2.5.6 </w:t>
      </w:r>
    </w:p>
    <w:p w14:paraId="23C2D89C" w14:textId="2832A3A9" w:rsidR="007960CE" w:rsidRPr="00CC4113" w:rsidRDefault="000D370D" w:rsidP="00CC4113">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Apply profit as per 2.5.7</w:t>
      </w:r>
      <w:r w:rsidR="0071502D" w:rsidRPr="008E7BE5">
        <w:rPr>
          <w:rFonts w:ascii="Arial" w:eastAsia="Arial" w:hAnsi="Arial"/>
          <w:color w:val="222222"/>
          <w:sz w:val="24"/>
          <w:szCs w:val="24"/>
          <w:highlight w:val="white"/>
        </w:rPr>
        <w:t>.</w:t>
      </w:r>
      <w:r w:rsidRPr="008E7BE5">
        <w:rPr>
          <w:rFonts w:ascii="Arial" w:eastAsia="Arial" w:hAnsi="Arial"/>
          <w:color w:val="222222"/>
          <w:sz w:val="24"/>
          <w:szCs w:val="24"/>
          <w:highlight w:val="white"/>
        </w:rPr>
        <w:t xml:space="preserve"> </w:t>
      </w:r>
    </w:p>
    <w:p w14:paraId="78DF35B6" w14:textId="77777777" w:rsidR="007960CE" w:rsidRPr="00CC4113" w:rsidRDefault="007960CE" w:rsidP="00172B0E">
      <w:pPr>
        <w:numPr>
          <w:ilvl w:val="1"/>
          <w:numId w:val="1"/>
        </w:numPr>
        <w:pBdr>
          <w:top w:val="nil"/>
          <w:left w:val="nil"/>
          <w:bottom w:val="nil"/>
          <w:right w:val="nil"/>
          <w:between w:val="nil"/>
        </w:pBdr>
        <w:spacing w:after="200"/>
        <w:rPr>
          <w:rFonts w:ascii="Arial" w:eastAsia="Arial" w:hAnsi="Arial"/>
          <w:b/>
          <w:bCs/>
          <w:color w:val="222222"/>
          <w:sz w:val="24"/>
          <w:szCs w:val="24"/>
        </w:rPr>
      </w:pPr>
      <w:r w:rsidRPr="00CC4113">
        <w:rPr>
          <w:rFonts w:ascii="Arial" w:eastAsia="Arial" w:hAnsi="Arial"/>
          <w:b/>
          <w:bCs/>
          <w:color w:val="222222"/>
          <w:sz w:val="24"/>
          <w:szCs w:val="24"/>
        </w:rPr>
        <w:t>Fuel</w:t>
      </w:r>
    </w:p>
    <w:p w14:paraId="69F9972A" w14:textId="06D346B1" w:rsidR="00172B0E" w:rsidRPr="00172B0E" w:rsidRDefault="00172B0E" w:rsidP="00CC4113">
      <w:pPr>
        <w:numPr>
          <w:ilvl w:val="2"/>
          <w:numId w:val="1"/>
        </w:numPr>
        <w:pBdr>
          <w:top w:val="nil"/>
          <w:left w:val="nil"/>
          <w:bottom w:val="nil"/>
          <w:right w:val="nil"/>
          <w:between w:val="nil"/>
        </w:pBdr>
        <w:spacing w:after="200"/>
        <w:rPr>
          <w:rFonts w:ascii="Arial" w:eastAsia="Arial" w:hAnsi="Arial"/>
          <w:color w:val="222222"/>
          <w:sz w:val="24"/>
          <w:szCs w:val="24"/>
        </w:rPr>
      </w:pPr>
      <w:r>
        <w:rPr>
          <w:rFonts w:ascii="Arial" w:eastAsia="Arial" w:hAnsi="Arial"/>
          <w:color w:val="222222"/>
          <w:sz w:val="24"/>
          <w:szCs w:val="24"/>
        </w:rPr>
        <w:t>F</w:t>
      </w:r>
      <w:r w:rsidRPr="00172B0E">
        <w:rPr>
          <w:rFonts w:ascii="Arial" w:eastAsia="Arial" w:hAnsi="Arial"/>
          <w:color w:val="222222"/>
          <w:sz w:val="24"/>
          <w:szCs w:val="24"/>
        </w:rPr>
        <w:t xml:space="preserve">uel </w:t>
      </w:r>
      <w:r>
        <w:rPr>
          <w:rFonts w:ascii="Arial" w:eastAsia="Arial" w:hAnsi="Arial"/>
          <w:color w:val="222222"/>
          <w:sz w:val="24"/>
          <w:szCs w:val="24"/>
        </w:rPr>
        <w:t>is</w:t>
      </w:r>
      <w:r w:rsidRPr="00172B0E">
        <w:rPr>
          <w:rFonts w:ascii="Arial" w:eastAsia="Arial" w:hAnsi="Arial"/>
          <w:color w:val="222222"/>
          <w:sz w:val="24"/>
          <w:szCs w:val="24"/>
        </w:rPr>
        <w:t xml:space="preserve"> classed as Tier Two Billable Works</w:t>
      </w:r>
      <w:r>
        <w:rPr>
          <w:rFonts w:ascii="Arial" w:eastAsia="Arial" w:hAnsi="Arial"/>
          <w:color w:val="222222"/>
          <w:sz w:val="24"/>
          <w:szCs w:val="24"/>
        </w:rPr>
        <w:t xml:space="preserve"> in accordance with</w:t>
      </w:r>
      <w:r w:rsidRPr="00172B0E">
        <w:rPr>
          <w:rFonts w:ascii="Arial" w:eastAsia="Arial" w:hAnsi="Arial"/>
          <w:color w:val="222222"/>
          <w:sz w:val="24"/>
          <w:szCs w:val="24"/>
        </w:rPr>
        <w:t xml:space="preserve"> </w:t>
      </w:r>
      <w:r>
        <w:rPr>
          <w:rFonts w:ascii="Arial" w:eastAsia="Arial" w:hAnsi="Arial"/>
          <w:color w:val="222222"/>
          <w:sz w:val="24"/>
          <w:szCs w:val="24"/>
        </w:rPr>
        <w:t>paragraph</w:t>
      </w:r>
      <w:r w:rsidRPr="00172B0E">
        <w:rPr>
          <w:rFonts w:ascii="Arial" w:eastAsia="Arial" w:hAnsi="Arial"/>
          <w:color w:val="222222"/>
          <w:sz w:val="24"/>
          <w:szCs w:val="24"/>
        </w:rPr>
        <w:t xml:space="preserve"> </w:t>
      </w:r>
      <w:r w:rsidR="00527500">
        <w:rPr>
          <w:rFonts w:ascii="Arial" w:eastAsia="Arial" w:hAnsi="Arial"/>
          <w:color w:val="222222"/>
          <w:sz w:val="24"/>
          <w:szCs w:val="24"/>
          <w:highlight w:val="yellow"/>
        </w:rPr>
        <w:fldChar w:fldCharType="begin"/>
      </w:r>
      <w:r w:rsidR="00527500">
        <w:rPr>
          <w:rFonts w:ascii="Arial" w:eastAsia="Arial" w:hAnsi="Arial"/>
          <w:color w:val="222222"/>
          <w:sz w:val="24"/>
          <w:szCs w:val="24"/>
        </w:rPr>
        <w:instrText xml:space="preserve"> REF _Ref157607414 \r \h </w:instrText>
      </w:r>
      <w:r w:rsidR="00527500">
        <w:rPr>
          <w:rFonts w:ascii="Arial" w:eastAsia="Arial" w:hAnsi="Arial"/>
          <w:color w:val="222222"/>
          <w:sz w:val="24"/>
          <w:szCs w:val="24"/>
          <w:highlight w:val="yellow"/>
        </w:rPr>
      </w:r>
      <w:r w:rsidR="00527500">
        <w:rPr>
          <w:rFonts w:ascii="Arial" w:eastAsia="Arial" w:hAnsi="Arial"/>
          <w:color w:val="222222"/>
          <w:sz w:val="24"/>
          <w:szCs w:val="24"/>
          <w:highlight w:val="yellow"/>
        </w:rPr>
        <w:fldChar w:fldCharType="separate"/>
      </w:r>
      <w:r w:rsidR="00CC4113">
        <w:rPr>
          <w:rFonts w:ascii="Arial" w:eastAsia="Arial" w:hAnsi="Arial"/>
          <w:color w:val="222222"/>
          <w:sz w:val="24"/>
          <w:szCs w:val="24"/>
        </w:rPr>
        <w:t>3.1.2</w:t>
      </w:r>
      <w:r w:rsidR="00527500">
        <w:rPr>
          <w:rFonts w:ascii="Arial" w:eastAsia="Arial" w:hAnsi="Arial"/>
          <w:color w:val="222222"/>
          <w:sz w:val="24"/>
          <w:szCs w:val="24"/>
          <w:highlight w:val="yellow"/>
        </w:rPr>
        <w:fldChar w:fldCharType="end"/>
      </w:r>
      <w:r>
        <w:rPr>
          <w:rFonts w:ascii="Arial" w:eastAsia="Arial" w:hAnsi="Arial"/>
          <w:color w:val="222222"/>
          <w:sz w:val="24"/>
          <w:szCs w:val="24"/>
        </w:rPr>
        <w:t xml:space="preserve"> and shall require</w:t>
      </w:r>
      <w:r w:rsidRPr="00172B0E">
        <w:rPr>
          <w:rFonts w:ascii="Arial" w:eastAsia="Arial" w:hAnsi="Arial"/>
          <w:color w:val="222222"/>
          <w:sz w:val="24"/>
          <w:szCs w:val="24"/>
        </w:rPr>
        <w:t xml:space="preserve"> 3 written quotations and buyer permission to proceed. </w:t>
      </w:r>
    </w:p>
    <w:p w14:paraId="6D2057CB" w14:textId="27DA3DD5" w:rsidR="00172B0E" w:rsidRPr="00172B0E" w:rsidRDefault="007960CE" w:rsidP="00CC4113">
      <w:pPr>
        <w:numPr>
          <w:ilvl w:val="2"/>
          <w:numId w:val="1"/>
        </w:numPr>
        <w:pBdr>
          <w:top w:val="nil"/>
          <w:left w:val="nil"/>
          <w:bottom w:val="nil"/>
          <w:right w:val="nil"/>
          <w:between w:val="nil"/>
        </w:pBdr>
        <w:spacing w:after="200"/>
        <w:rPr>
          <w:rFonts w:ascii="Arial" w:eastAsia="Arial" w:hAnsi="Arial"/>
          <w:color w:val="222222"/>
          <w:sz w:val="24"/>
          <w:szCs w:val="24"/>
        </w:rPr>
      </w:pPr>
      <w:r>
        <w:rPr>
          <w:rFonts w:ascii="Arial" w:eastAsia="Arial" w:hAnsi="Arial"/>
          <w:color w:val="222222"/>
          <w:sz w:val="24"/>
          <w:szCs w:val="24"/>
        </w:rPr>
        <w:t>Paragraphs</w:t>
      </w:r>
      <w:r w:rsidR="00172B0E" w:rsidRPr="00172B0E">
        <w:rPr>
          <w:rFonts w:ascii="Arial" w:eastAsia="Arial" w:hAnsi="Arial"/>
          <w:color w:val="222222"/>
          <w:sz w:val="24"/>
          <w:szCs w:val="24"/>
        </w:rPr>
        <w:t xml:space="preserve"> </w:t>
      </w:r>
      <w:r w:rsidR="00527500">
        <w:rPr>
          <w:rFonts w:ascii="Arial" w:eastAsia="Arial" w:hAnsi="Arial"/>
          <w:color w:val="222222"/>
          <w:sz w:val="24"/>
          <w:szCs w:val="24"/>
        </w:rPr>
        <w:fldChar w:fldCharType="begin"/>
      </w:r>
      <w:r w:rsidR="00527500">
        <w:rPr>
          <w:rFonts w:ascii="Arial" w:eastAsia="Arial" w:hAnsi="Arial"/>
          <w:color w:val="222222"/>
          <w:sz w:val="24"/>
          <w:szCs w:val="24"/>
        </w:rPr>
        <w:instrText xml:space="preserve"> REF _Ref157607431 \r \h </w:instrText>
      </w:r>
      <w:r w:rsidR="00527500">
        <w:rPr>
          <w:rFonts w:ascii="Arial" w:eastAsia="Arial" w:hAnsi="Arial"/>
          <w:color w:val="222222"/>
          <w:sz w:val="24"/>
          <w:szCs w:val="24"/>
        </w:rPr>
      </w:r>
      <w:r w:rsidR="00527500">
        <w:rPr>
          <w:rFonts w:ascii="Arial" w:eastAsia="Arial" w:hAnsi="Arial"/>
          <w:color w:val="222222"/>
          <w:sz w:val="24"/>
          <w:szCs w:val="24"/>
        </w:rPr>
        <w:fldChar w:fldCharType="separate"/>
      </w:r>
      <w:r w:rsidR="00CC4113">
        <w:rPr>
          <w:rFonts w:ascii="Arial" w:eastAsia="Arial" w:hAnsi="Arial"/>
          <w:color w:val="222222"/>
          <w:sz w:val="24"/>
          <w:szCs w:val="24"/>
        </w:rPr>
        <w:t>2.5.5</w:t>
      </w:r>
      <w:r w:rsidR="00527500">
        <w:rPr>
          <w:rFonts w:ascii="Arial" w:eastAsia="Arial" w:hAnsi="Arial"/>
          <w:color w:val="222222"/>
          <w:sz w:val="24"/>
          <w:szCs w:val="24"/>
        </w:rPr>
        <w:fldChar w:fldCharType="end"/>
      </w:r>
      <w:r w:rsidR="00172B0E" w:rsidRPr="00172B0E">
        <w:rPr>
          <w:rFonts w:ascii="Arial" w:eastAsia="Arial" w:hAnsi="Arial"/>
          <w:color w:val="222222"/>
          <w:sz w:val="24"/>
          <w:szCs w:val="24"/>
        </w:rPr>
        <w:t xml:space="preserve">, </w:t>
      </w:r>
      <w:r w:rsidR="00527500">
        <w:rPr>
          <w:rFonts w:ascii="Arial" w:eastAsia="Arial" w:hAnsi="Arial"/>
          <w:color w:val="222222"/>
          <w:sz w:val="24"/>
          <w:szCs w:val="24"/>
        </w:rPr>
        <w:fldChar w:fldCharType="begin"/>
      </w:r>
      <w:r w:rsidR="00527500">
        <w:rPr>
          <w:rFonts w:ascii="Arial" w:eastAsia="Arial" w:hAnsi="Arial"/>
          <w:color w:val="222222"/>
          <w:sz w:val="24"/>
          <w:szCs w:val="24"/>
        </w:rPr>
        <w:instrText xml:space="preserve"> REF _Ref157607439 \r \h </w:instrText>
      </w:r>
      <w:r w:rsidR="00527500">
        <w:rPr>
          <w:rFonts w:ascii="Arial" w:eastAsia="Arial" w:hAnsi="Arial"/>
          <w:color w:val="222222"/>
          <w:sz w:val="24"/>
          <w:szCs w:val="24"/>
        </w:rPr>
      </w:r>
      <w:r w:rsidR="00527500">
        <w:rPr>
          <w:rFonts w:ascii="Arial" w:eastAsia="Arial" w:hAnsi="Arial"/>
          <w:color w:val="222222"/>
          <w:sz w:val="24"/>
          <w:szCs w:val="24"/>
        </w:rPr>
        <w:fldChar w:fldCharType="separate"/>
      </w:r>
      <w:r w:rsidR="00CC4113">
        <w:rPr>
          <w:rFonts w:ascii="Arial" w:eastAsia="Arial" w:hAnsi="Arial"/>
          <w:color w:val="222222"/>
          <w:sz w:val="24"/>
          <w:szCs w:val="24"/>
        </w:rPr>
        <w:t>2.5.6</w:t>
      </w:r>
      <w:r w:rsidR="00527500">
        <w:rPr>
          <w:rFonts w:ascii="Arial" w:eastAsia="Arial" w:hAnsi="Arial"/>
          <w:color w:val="222222"/>
          <w:sz w:val="24"/>
          <w:szCs w:val="24"/>
        </w:rPr>
        <w:fldChar w:fldCharType="end"/>
      </w:r>
      <w:r w:rsidR="00172B0E" w:rsidRPr="00172B0E">
        <w:rPr>
          <w:rFonts w:ascii="Arial" w:eastAsia="Arial" w:hAnsi="Arial"/>
          <w:color w:val="222222"/>
          <w:sz w:val="24"/>
          <w:szCs w:val="24"/>
        </w:rPr>
        <w:t xml:space="preserve"> and </w:t>
      </w:r>
      <w:r w:rsidR="00527500">
        <w:rPr>
          <w:rFonts w:ascii="Arial" w:eastAsia="Arial" w:hAnsi="Arial"/>
          <w:color w:val="222222"/>
          <w:sz w:val="24"/>
          <w:szCs w:val="24"/>
        </w:rPr>
        <w:fldChar w:fldCharType="begin"/>
      </w:r>
      <w:r w:rsidR="00527500">
        <w:rPr>
          <w:rFonts w:ascii="Arial" w:eastAsia="Arial" w:hAnsi="Arial"/>
          <w:color w:val="222222"/>
          <w:sz w:val="24"/>
          <w:szCs w:val="24"/>
        </w:rPr>
        <w:instrText xml:space="preserve"> REF _Ref157607444 \r \h </w:instrText>
      </w:r>
      <w:r w:rsidR="00527500">
        <w:rPr>
          <w:rFonts w:ascii="Arial" w:eastAsia="Arial" w:hAnsi="Arial"/>
          <w:color w:val="222222"/>
          <w:sz w:val="24"/>
          <w:szCs w:val="24"/>
        </w:rPr>
      </w:r>
      <w:r w:rsidR="00527500">
        <w:rPr>
          <w:rFonts w:ascii="Arial" w:eastAsia="Arial" w:hAnsi="Arial"/>
          <w:color w:val="222222"/>
          <w:sz w:val="24"/>
          <w:szCs w:val="24"/>
        </w:rPr>
        <w:fldChar w:fldCharType="separate"/>
      </w:r>
      <w:r w:rsidR="00CC4113">
        <w:rPr>
          <w:rFonts w:ascii="Arial" w:eastAsia="Arial" w:hAnsi="Arial"/>
          <w:color w:val="222222"/>
          <w:sz w:val="24"/>
          <w:szCs w:val="24"/>
        </w:rPr>
        <w:t>2.5.7</w:t>
      </w:r>
      <w:r w:rsidR="00527500">
        <w:rPr>
          <w:rFonts w:ascii="Arial" w:eastAsia="Arial" w:hAnsi="Arial"/>
          <w:color w:val="222222"/>
          <w:sz w:val="24"/>
          <w:szCs w:val="24"/>
        </w:rPr>
        <w:fldChar w:fldCharType="end"/>
      </w:r>
      <w:r w:rsidR="00172B0E" w:rsidRPr="00172B0E">
        <w:rPr>
          <w:rFonts w:ascii="Arial" w:eastAsia="Arial" w:hAnsi="Arial"/>
          <w:color w:val="222222"/>
          <w:sz w:val="24"/>
          <w:szCs w:val="24"/>
        </w:rPr>
        <w:t xml:space="preserve"> will be used to calculate the </w:t>
      </w:r>
      <w:r w:rsidRPr="00527500">
        <w:rPr>
          <w:rFonts w:ascii="Arial" w:eastAsia="Arial" w:hAnsi="Arial"/>
          <w:color w:val="222222"/>
          <w:sz w:val="24"/>
          <w:szCs w:val="24"/>
        </w:rPr>
        <w:t>fuel</w:t>
      </w:r>
      <w:r>
        <w:rPr>
          <w:rFonts w:ascii="Arial" w:eastAsia="Arial" w:hAnsi="Arial"/>
          <w:color w:val="222222"/>
          <w:sz w:val="24"/>
          <w:szCs w:val="24"/>
        </w:rPr>
        <w:t xml:space="preserve"> </w:t>
      </w:r>
      <w:r w:rsidR="00172B0E" w:rsidRPr="00172B0E">
        <w:rPr>
          <w:rFonts w:ascii="Arial" w:eastAsia="Arial" w:hAnsi="Arial"/>
          <w:color w:val="222222"/>
          <w:sz w:val="24"/>
          <w:szCs w:val="24"/>
        </w:rPr>
        <w:t xml:space="preserve">charges in accordance with paragraph </w:t>
      </w:r>
      <w:r w:rsidR="00527500">
        <w:rPr>
          <w:rFonts w:ascii="Arial" w:eastAsia="Arial" w:hAnsi="Arial"/>
          <w:color w:val="222222"/>
          <w:sz w:val="24"/>
          <w:szCs w:val="24"/>
        </w:rPr>
        <w:fldChar w:fldCharType="begin"/>
      </w:r>
      <w:r w:rsidR="00527500">
        <w:rPr>
          <w:rFonts w:ascii="Arial" w:eastAsia="Arial" w:hAnsi="Arial"/>
          <w:color w:val="222222"/>
          <w:sz w:val="24"/>
          <w:szCs w:val="24"/>
        </w:rPr>
        <w:instrText xml:space="preserve"> REF _Ref157607456 \r \h </w:instrText>
      </w:r>
      <w:r w:rsidR="00527500">
        <w:rPr>
          <w:rFonts w:ascii="Arial" w:eastAsia="Arial" w:hAnsi="Arial"/>
          <w:color w:val="222222"/>
          <w:sz w:val="24"/>
          <w:szCs w:val="24"/>
        </w:rPr>
      </w:r>
      <w:r w:rsidR="00527500">
        <w:rPr>
          <w:rFonts w:ascii="Arial" w:eastAsia="Arial" w:hAnsi="Arial"/>
          <w:color w:val="222222"/>
          <w:sz w:val="24"/>
          <w:szCs w:val="24"/>
        </w:rPr>
        <w:fldChar w:fldCharType="separate"/>
      </w:r>
      <w:r w:rsidR="00CC4113">
        <w:rPr>
          <w:rFonts w:ascii="Arial" w:eastAsia="Arial" w:hAnsi="Arial"/>
          <w:color w:val="222222"/>
          <w:sz w:val="24"/>
          <w:szCs w:val="24"/>
        </w:rPr>
        <w:t>2.7</w:t>
      </w:r>
      <w:r w:rsidR="00527500">
        <w:rPr>
          <w:rFonts w:ascii="Arial" w:eastAsia="Arial" w:hAnsi="Arial"/>
          <w:color w:val="222222"/>
          <w:sz w:val="24"/>
          <w:szCs w:val="24"/>
        </w:rPr>
        <w:fldChar w:fldCharType="end"/>
      </w:r>
      <w:r w:rsidR="00527500">
        <w:rPr>
          <w:rFonts w:ascii="Arial" w:eastAsia="Arial" w:hAnsi="Arial"/>
          <w:color w:val="222222"/>
          <w:sz w:val="24"/>
          <w:szCs w:val="24"/>
        </w:rPr>
        <w:t>.</w:t>
      </w:r>
    </w:p>
    <w:p w14:paraId="5F313B5F" w14:textId="0708E4EC" w:rsidR="00172B0E" w:rsidRPr="00172B0E" w:rsidRDefault="007960CE" w:rsidP="00CC4113">
      <w:pPr>
        <w:numPr>
          <w:ilvl w:val="2"/>
          <w:numId w:val="1"/>
        </w:numPr>
        <w:pBdr>
          <w:top w:val="nil"/>
          <w:left w:val="nil"/>
          <w:bottom w:val="nil"/>
          <w:right w:val="nil"/>
          <w:between w:val="nil"/>
        </w:pBdr>
        <w:spacing w:after="200"/>
        <w:rPr>
          <w:rFonts w:ascii="Arial" w:eastAsia="Arial" w:hAnsi="Arial"/>
          <w:color w:val="222222"/>
          <w:sz w:val="24"/>
          <w:szCs w:val="24"/>
        </w:rPr>
      </w:pPr>
      <w:r>
        <w:rPr>
          <w:rFonts w:ascii="Arial" w:eastAsia="Arial" w:hAnsi="Arial"/>
          <w:color w:val="222222"/>
          <w:sz w:val="24"/>
          <w:szCs w:val="24"/>
        </w:rPr>
        <w:t>Paragraph</w:t>
      </w:r>
      <w:r w:rsidR="00172B0E" w:rsidRPr="00172B0E">
        <w:rPr>
          <w:rFonts w:ascii="Arial" w:eastAsia="Arial" w:hAnsi="Arial"/>
          <w:color w:val="222222"/>
          <w:sz w:val="24"/>
          <w:szCs w:val="24"/>
        </w:rPr>
        <w:t xml:space="preserve"> </w:t>
      </w:r>
      <w:r w:rsidR="00527500">
        <w:rPr>
          <w:rFonts w:ascii="Arial" w:eastAsia="Arial" w:hAnsi="Arial"/>
          <w:color w:val="222222"/>
          <w:sz w:val="24"/>
          <w:szCs w:val="24"/>
        </w:rPr>
        <w:fldChar w:fldCharType="begin"/>
      </w:r>
      <w:r w:rsidR="00527500">
        <w:rPr>
          <w:rFonts w:ascii="Arial" w:eastAsia="Arial" w:hAnsi="Arial"/>
          <w:color w:val="222222"/>
          <w:sz w:val="24"/>
          <w:szCs w:val="24"/>
        </w:rPr>
        <w:instrText xml:space="preserve"> REF _Ref157607472 \r \h </w:instrText>
      </w:r>
      <w:r w:rsidR="00527500">
        <w:rPr>
          <w:rFonts w:ascii="Arial" w:eastAsia="Arial" w:hAnsi="Arial"/>
          <w:color w:val="222222"/>
          <w:sz w:val="24"/>
          <w:szCs w:val="24"/>
        </w:rPr>
      </w:r>
      <w:r w:rsidR="00527500">
        <w:rPr>
          <w:rFonts w:ascii="Arial" w:eastAsia="Arial" w:hAnsi="Arial"/>
          <w:color w:val="222222"/>
          <w:sz w:val="24"/>
          <w:szCs w:val="24"/>
        </w:rPr>
        <w:fldChar w:fldCharType="separate"/>
      </w:r>
      <w:r w:rsidR="00CC4113">
        <w:rPr>
          <w:rFonts w:ascii="Arial" w:eastAsia="Arial" w:hAnsi="Arial"/>
          <w:color w:val="222222"/>
          <w:sz w:val="24"/>
          <w:szCs w:val="24"/>
        </w:rPr>
        <w:t>3.2.2</w:t>
      </w:r>
      <w:r w:rsidR="00527500">
        <w:rPr>
          <w:rFonts w:ascii="Arial" w:eastAsia="Arial" w:hAnsi="Arial"/>
          <w:color w:val="222222"/>
          <w:sz w:val="24"/>
          <w:szCs w:val="24"/>
        </w:rPr>
        <w:fldChar w:fldCharType="end"/>
      </w:r>
      <w:r w:rsidR="00172B0E" w:rsidRPr="00172B0E">
        <w:rPr>
          <w:rFonts w:ascii="Arial" w:eastAsia="Arial" w:hAnsi="Arial"/>
          <w:color w:val="222222"/>
          <w:sz w:val="24"/>
          <w:szCs w:val="24"/>
        </w:rPr>
        <w:t xml:space="preserve"> </w:t>
      </w:r>
      <w:r>
        <w:rPr>
          <w:rFonts w:ascii="Arial" w:eastAsia="Arial" w:hAnsi="Arial"/>
          <w:color w:val="222222"/>
          <w:sz w:val="24"/>
          <w:szCs w:val="24"/>
        </w:rPr>
        <w:t>shall not apply</w:t>
      </w:r>
      <w:r w:rsidR="00172B0E" w:rsidRPr="00172B0E">
        <w:rPr>
          <w:rFonts w:ascii="Arial" w:eastAsia="Arial" w:hAnsi="Arial"/>
          <w:color w:val="222222"/>
          <w:sz w:val="24"/>
          <w:szCs w:val="24"/>
        </w:rPr>
        <w:t xml:space="preserve"> for fuel in the case of a critical incident due to the quantity of stored fuel</w:t>
      </w:r>
      <w:r>
        <w:rPr>
          <w:rFonts w:ascii="Arial" w:eastAsia="Arial" w:hAnsi="Arial"/>
          <w:color w:val="222222"/>
          <w:sz w:val="24"/>
          <w:szCs w:val="24"/>
        </w:rPr>
        <w:t xml:space="preserve">. However, </w:t>
      </w:r>
      <w:r w:rsidR="00172B0E" w:rsidRPr="00172B0E">
        <w:rPr>
          <w:rFonts w:ascii="Arial" w:eastAsia="Arial" w:hAnsi="Arial"/>
          <w:color w:val="222222"/>
          <w:sz w:val="24"/>
          <w:szCs w:val="24"/>
        </w:rPr>
        <w:t xml:space="preserve">quotations will still be required and approval granted to proceed in this instance.  </w:t>
      </w:r>
    </w:p>
    <w:p w14:paraId="77D56BCF" w14:textId="1A9A283F" w:rsidR="00172B0E" w:rsidRPr="008E7BE5" w:rsidRDefault="007960CE" w:rsidP="00CC4113">
      <w:pPr>
        <w:numPr>
          <w:ilvl w:val="2"/>
          <w:numId w:val="1"/>
        </w:numPr>
        <w:pBdr>
          <w:top w:val="nil"/>
          <w:left w:val="nil"/>
          <w:bottom w:val="nil"/>
          <w:right w:val="nil"/>
          <w:between w:val="nil"/>
        </w:pBdr>
        <w:spacing w:after="200"/>
        <w:rPr>
          <w:rFonts w:ascii="Arial" w:eastAsia="Arial" w:hAnsi="Arial"/>
          <w:color w:val="222222"/>
          <w:sz w:val="24"/>
          <w:szCs w:val="24"/>
          <w:highlight w:val="white"/>
        </w:rPr>
      </w:pPr>
      <w:r>
        <w:rPr>
          <w:rFonts w:ascii="Arial" w:eastAsia="Arial" w:hAnsi="Arial"/>
          <w:color w:val="222222"/>
          <w:sz w:val="24"/>
          <w:szCs w:val="24"/>
        </w:rPr>
        <w:t>T</w:t>
      </w:r>
      <w:r w:rsidR="00172B0E" w:rsidRPr="00172B0E">
        <w:rPr>
          <w:rFonts w:ascii="Arial" w:eastAsia="Arial" w:hAnsi="Arial"/>
          <w:color w:val="222222"/>
          <w:sz w:val="24"/>
          <w:szCs w:val="24"/>
        </w:rPr>
        <w:t>he Inclusive Re</w:t>
      </w:r>
      <w:r w:rsidR="00172B0E" w:rsidRPr="00AF29A6">
        <w:rPr>
          <w:rFonts w:ascii="Arial" w:eastAsia="Arial" w:hAnsi="Arial"/>
          <w:color w:val="222222"/>
          <w:sz w:val="24"/>
          <w:szCs w:val="24"/>
        </w:rPr>
        <w:t>pair Threshold</w:t>
      </w:r>
      <w:r w:rsidRPr="00AF29A6">
        <w:rPr>
          <w:rFonts w:ascii="Arial" w:eastAsia="Arial" w:hAnsi="Arial"/>
          <w:color w:val="222222"/>
          <w:sz w:val="24"/>
          <w:szCs w:val="24"/>
        </w:rPr>
        <w:t xml:space="preserve"> shall not apply to any fuel supplied.</w:t>
      </w:r>
    </w:p>
    <w:p w14:paraId="00000026" w14:textId="77777777" w:rsidR="004D6CD8" w:rsidRDefault="000D370D" w:rsidP="008E7BE5">
      <w:pPr>
        <w:numPr>
          <w:ilvl w:val="0"/>
          <w:numId w:val="1"/>
        </w:numPr>
        <w:pBdr>
          <w:top w:val="nil"/>
          <w:left w:val="nil"/>
          <w:bottom w:val="nil"/>
          <w:right w:val="nil"/>
          <w:between w:val="nil"/>
        </w:pBdr>
        <w:spacing w:before="120" w:after="120"/>
        <w:ind w:left="993" w:hanging="993"/>
        <w:rPr>
          <w:rFonts w:ascii="Arial" w:eastAsia="Arial" w:hAnsi="Arial"/>
          <w:color w:val="000000"/>
          <w:sz w:val="24"/>
          <w:szCs w:val="24"/>
        </w:rPr>
      </w:pPr>
      <w:bookmarkStart w:id="8" w:name="_heading=h.3znysh7" w:colFirst="0" w:colLast="0"/>
      <w:bookmarkEnd w:id="8"/>
      <w:r>
        <w:rPr>
          <w:rFonts w:ascii="Arial" w:eastAsia="Arial" w:hAnsi="Arial"/>
          <w:b/>
          <w:color w:val="000000"/>
          <w:sz w:val="24"/>
          <w:szCs w:val="24"/>
        </w:rPr>
        <w:t>Quotations and Tenders for Billable Works</w:t>
      </w:r>
    </w:p>
    <w:p w14:paraId="00000027" w14:textId="4D566E47" w:rsidR="004D6CD8" w:rsidRDefault="000D370D" w:rsidP="008E7BE5">
      <w:pPr>
        <w:numPr>
          <w:ilvl w:val="1"/>
          <w:numId w:val="1"/>
        </w:numPr>
        <w:pBdr>
          <w:top w:val="nil"/>
          <w:left w:val="nil"/>
          <w:bottom w:val="nil"/>
          <w:right w:val="nil"/>
          <w:between w:val="nil"/>
        </w:pBdr>
        <w:tabs>
          <w:tab w:val="left" w:pos="1985"/>
          <w:tab w:val="left" w:pos="2127"/>
        </w:tabs>
        <w:spacing w:before="120" w:after="120"/>
        <w:rPr>
          <w:rFonts w:ascii="Arial" w:eastAsia="Arial" w:hAnsi="Arial"/>
        </w:rPr>
      </w:pPr>
      <w:bookmarkStart w:id="9" w:name="_heading=h.30j0zll" w:colFirst="0" w:colLast="0"/>
      <w:bookmarkEnd w:id="9"/>
      <w:r>
        <w:rPr>
          <w:rFonts w:ascii="Arial" w:eastAsia="Arial" w:hAnsi="Arial"/>
          <w:color w:val="000000"/>
          <w:sz w:val="24"/>
          <w:szCs w:val="24"/>
        </w:rPr>
        <w:t>Where the Buyer gives instructions to the Supplier to manage and/or execute Billable Works</w:t>
      </w:r>
      <w:r w:rsidR="0071502D">
        <w:rPr>
          <w:rFonts w:ascii="Arial" w:eastAsia="Arial" w:hAnsi="Arial"/>
          <w:color w:val="000000"/>
          <w:sz w:val="24"/>
          <w:szCs w:val="24"/>
        </w:rPr>
        <w:t xml:space="preserve"> the</w:t>
      </w:r>
      <w:r>
        <w:rPr>
          <w:rFonts w:ascii="Arial" w:eastAsia="Arial" w:hAnsi="Arial"/>
          <w:color w:val="000000"/>
          <w:sz w:val="24"/>
          <w:szCs w:val="24"/>
        </w:rPr>
        <w:t xml:space="preserve"> </w:t>
      </w:r>
      <w:r w:rsidR="00670C58">
        <w:rPr>
          <w:rFonts w:ascii="Arial" w:eastAsia="Arial" w:hAnsi="Arial"/>
          <w:sz w:val="24"/>
          <w:szCs w:val="24"/>
        </w:rPr>
        <w:t>following shall apply</w:t>
      </w:r>
      <w:r w:rsidR="00436A61">
        <w:rPr>
          <w:rFonts w:ascii="Arial" w:eastAsia="Arial" w:hAnsi="Arial"/>
          <w:sz w:val="24"/>
          <w:szCs w:val="24"/>
        </w:rPr>
        <w:t>:</w:t>
      </w:r>
    </w:p>
    <w:p w14:paraId="00000028" w14:textId="31BEBB06"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Tier One Billable Works shall be managed and executed by the Supplier. Where the Billable Works are to be delivered directly by the Supplier, the Supplier shall provide an estimate of costs </w:t>
      </w:r>
      <w:r w:rsidR="003C230D" w:rsidRPr="008E7BE5">
        <w:rPr>
          <w:rFonts w:ascii="Arial" w:eastAsia="Arial" w:hAnsi="Arial"/>
          <w:color w:val="222222"/>
          <w:sz w:val="24"/>
          <w:szCs w:val="24"/>
          <w:highlight w:val="white"/>
        </w:rPr>
        <w:t xml:space="preserve">using </w:t>
      </w:r>
      <w:r w:rsidRPr="008E7BE5">
        <w:rPr>
          <w:rFonts w:ascii="Arial" w:eastAsia="Arial" w:hAnsi="Arial"/>
          <w:color w:val="222222"/>
          <w:sz w:val="24"/>
          <w:szCs w:val="24"/>
          <w:highlight w:val="white"/>
        </w:rPr>
        <w:t xml:space="preserve">the rates </w:t>
      </w:r>
      <w:r w:rsidR="003C230D" w:rsidRPr="008E7BE5">
        <w:rPr>
          <w:rFonts w:ascii="Arial" w:eastAsia="Arial" w:hAnsi="Arial"/>
          <w:color w:val="222222"/>
          <w:sz w:val="24"/>
          <w:szCs w:val="24"/>
          <w:highlight w:val="white"/>
        </w:rPr>
        <w:t xml:space="preserve">card </w:t>
      </w:r>
      <w:r w:rsidRPr="008E7BE5">
        <w:rPr>
          <w:rFonts w:ascii="Arial" w:eastAsia="Arial" w:hAnsi="Arial"/>
          <w:color w:val="222222"/>
          <w:sz w:val="24"/>
          <w:szCs w:val="24"/>
          <w:highlight w:val="white"/>
        </w:rPr>
        <w:t xml:space="preserve">set out in </w:t>
      </w:r>
      <w:r w:rsidR="003C230D" w:rsidRPr="008E7BE5">
        <w:rPr>
          <w:rFonts w:ascii="Arial" w:eastAsia="Arial" w:hAnsi="Arial"/>
          <w:color w:val="222222"/>
          <w:sz w:val="24"/>
          <w:szCs w:val="24"/>
          <w:highlight w:val="white"/>
        </w:rPr>
        <w:t>the table "Schedule of Rates" within tab "Billable Works" of the Baseline Pricing Matrix</w:t>
      </w:r>
      <w:r w:rsidRPr="008E7BE5">
        <w:rPr>
          <w:rFonts w:ascii="Arial" w:eastAsia="Arial" w:hAnsi="Arial"/>
          <w:color w:val="222222"/>
          <w:sz w:val="24"/>
          <w:szCs w:val="24"/>
          <w:highlight w:val="white"/>
        </w:rPr>
        <w:t xml:space="preserve">. Where </w:t>
      </w:r>
      <w:r w:rsidR="0071502D" w:rsidRPr="008E7BE5">
        <w:rPr>
          <w:rFonts w:ascii="Arial" w:eastAsia="Arial" w:hAnsi="Arial"/>
          <w:color w:val="222222"/>
          <w:sz w:val="24"/>
          <w:szCs w:val="24"/>
          <w:highlight w:val="white"/>
        </w:rPr>
        <w:lastRenderedPageBreak/>
        <w:t xml:space="preserve">Billable </w:t>
      </w:r>
      <w:r w:rsidRPr="008E7BE5">
        <w:rPr>
          <w:rFonts w:ascii="Arial" w:eastAsia="Arial" w:hAnsi="Arial"/>
          <w:color w:val="222222"/>
          <w:sz w:val="24"/>
          <w:szCs w:val="24"/>
          <w:highlight w:val="white"/>
        </w:rPr>
        <w:t>Works are to be undertaken by other Supplier appointed third parties, the Supplier shall provide at least one written quotation. The Supplier shall not commence any Tier One Billable Works until approval has been granted by the Buyer to proceed to completion</w:t>
      </w:r>
      <w:r w:rsidR="0071502D" w:rsidRPr="008E7BE5">
        <w:rPr>
          <w:rFonts w:ascii="Arial" w:eastAsia="Arial" w:hAnsi="Arial"/>
          <w:color w:val="222222"/>
          <w:sz w:val="24"/>
          <w:szCs w:val="24"/>
          <w:highlight w:val="white"/>
        </w:rPr>
        <w:t xml:space="preserve"> in accordance with the Billable Works and Approvals Process</w:t>
      </w:r>
      <w:r w:rsidRPr="008E7BE5">
        <w:rPr>
          <w:rFonts w:ascii="Arial" w:eastAsia="Arial" w:hAnsi="Arial"/>
          <w:color w:val="222222"/>
          <w:sz w:val="24"/>
          <w:szCs w:val="24"/>
          <w:highlight w:val="white"/>
        </w:rPr>
        <w:t xml:space="preserve">. </w:t>
      </w:r>
    </w:p>
    <w:p w14:paraId="00000029" w14:textId="5CE649CA"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bookmarkStart w:id="10" w:name="_Ref157607414"/>
      <w:r w:rsidRPr="008E7BE5">
        <w:rPr>
          <w:rFonts w:ascii="Arial" w:eastAsia="Arial" w:hAnsi="Arial"/>
          <w:color w:val="222222"/>
          <w:sz w:val="24"/>
          <w:szCs w:val="24"/>
          <w:highlight w:val="white"/>
        </w:rPr>
        <w:t>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w:t>
      </w:r>
      <w:r w:rsidR="0071502D" w:rsidRPr="008E7BE5">
        <w:rPr>
          <w:rFonts w:ascii="Arial" w:eastAsia="Arial" w:hAnsi="Arial"/>
          <w:color w:val="222222"/>
          <w:sz w:val="24"/>
          <w:szCs w:val="24"/>
          <w:highlight w:val="white"/>
        </w:rPr>
        <w:t xml:space="preserve"> in accordance with the Billable Works and Approvals Process</w:t>
      </w:r>
      <w:r w:rsidRPr="008E7BE5">
        <w:rPr>
          <w:rFonts w:ascii="Arial" w:eastAsia="Arial" w:hAnsi="Arial"/>
          <w:color w:val="222222"/>
          <w:sz w:val="24"/>
          <w:szCs w:val="24"/>
          <w:highlight w:val="white"/>
        </w:rPr>
        <w:t>.</w:t>
      </w:r>
      <w:bookmarkEnd w:id="10"/>
      <w:r w:rsidRPr="008E7BE5">
        <w:rPr>
          <w:rFonts w:ascii="Arial" w:eastAsia="Arial" w:hAnsi="Arial"/>
          <w:color w:val="222222"/>
          <w:sz w:val="24"/>
          <w:szCs w:val="24"/>
          <w:highlight w:val="white"/>
        </w:rPr>
        <w:t xml:space="preserve"> </w:t>
      </w:r>
    </w:p>
    <w:p w14:paraId="0000002A" w14:textId="4E529641"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w:t>
      </w:r>
      <w:r w:rsidR="0071502D" w:rsidRPr="008E7BE5">
        <w:rPr>
          <w:rFonts w:ascii="Arial" w:eastAsia="Arial" w:hAnsi="Arial"/>
          <w:color w:val="222222"/>
          <w:sz w:val="24"/>
          <w:szCs w:val="24"/>
          <w:highlight w:val="white"/>
        </w:rPr>
        <w:t xml:space="preserve"> in accordance with the Billable Works and Approvals Process</w:t>
      </w:r>
      <w:r w:rsidRPr="008E7BE5">
        <w:rPr>
          <w:rFonts w:ascii="Arial" w:eastAsia="Arial" w:hAnsi="Arial"/>
          <w:color w:val="222222"/>
          <w:sz w:val="24"/>
          <w:szCs w:val="24"/>
          <w:highlight w:val="white"/>
        </w:rPr>
        <w:t xml:space="preserve">. </w:t>
      </w:r>
    </w:p>
    <w:p w14:paraId="0000002C"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Where the Buyer allows the Supplier to both manage the tender process and tender for the Billable Works, the Supplier shall ensure appropriate Ethical Wall arrangements are in place to prevent conflicts of interest and that the Public Contract Regulations (2015) are adhered to.</w:t>
      </w:r>
    </w:p>
    <w:p w14:paraId="0000002D"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The terms and conditions for Billable Works will be as per those in the Public Sector Contract unless otherwise specified by the Buyer under their defined procurement process.</w:t>
      </w:r>
    </w:p>
    <w:p w14:paraId="0000002E" w14:textId="77777777"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The Supplier shall seek prior written approval from the Buyer prior to proceeding to provide any Billable Works with the exception of:</w:t>
      </w:r>
    </w:p>
    <w:p w14:paraId="0000002F"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Billable Works up to the value specified in the Order Form (Billable Works not requiring approval); or</w:t>
      </w:r>
    </w:p>
    <w:p w14:paraId="00000030"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bookmarkStart w:id="11" w:name="_Ref157607472"/>
      <w:r w:rsidRPr="008E7BE5">
        <w:rPr>
          <w:rFonts w:ascii="Arial" w:eastAsia="Arial" w:hAnsi="Arial"/>
          <w:color w:val="222222"/>
          <w:sz w:val="24"/>
          <w:szCs w:val="24"/>
          <w:highlight w:val="white"/>
        </w:rPr>
        <w:t xml:space="preserve">Billable Works required as a consequence of a </w:t>
      </w:r>
      <w:proofErr w:type="gramStart"/>
      <w:r w:rsidRPr="008E7BE5">
        <w:rPr>
          <w:rFonts w:ascii="Arial" w:eastAsia="Arial" w:hAnsi="Arial"/>
          <w:color w:val="222222"/>
          <w:sz w:val="24"/>
          <w:szCs w:val="24"/>
          <w:highlight w:val="white"/>
        </w:rPr>
        <w:t>Business Critical</w:t>
      </w:r>
      <w:proofErr w:type="gramEnd"/>
      <w:r w:rsidRPr="008E7BE5">
        <w:rPr>
          <w:rFonts w:ascii="Arial" w:eastAsia="Arial" w:hAnsi="Arial"/>
          <w:color w:val="222222"/>
          <w:sz w:val="24"/>
          <w:szCs w:val="24"/>
          <w:highlight w:val="white"/>
        </w:rPr>
        <w:t xml:space="preserve"> Event,</w:t>
      </w:r>
      <w:bookmarkEnd w:id="11"/>
    </w:p>
    <w:p w14:paraId="00000031" w14:textId="515B208A" w:rsidR="004D6CD8" w:rsidRDefault="000D370D" w:rsidP="008E7BE5">
      <w:pPr>
        <w:pBdr>
          <w:top w:val="nil"/>
          <w:left w:val="nil"/>
          <w:bottom w:val="nil"/>
          <w:right w:val="nil"/>
          <w:between w:val="nil"/>
        </w:pBdr>
        <w:spacing w:before="120" w:after="120"/>
        <w:ind w:left="1134"/>
        <w:rPr>
          <w:rFonts w:ascii="Arial" w:eastAsia="Arial" w:hAnsi="Arial"/>
          <w:color w:val="000000"/>
          <w:sz w:val="24"/>
          <w:szCs w:val="24"/>
        </w:rPr>
      </w:pPr>
      <w:r>
        <w:rPr>
          <w:rFonts w:ascii="Arial" w:eastAsia="Arial" w:hAnsi="Arial"/>
          <w:color w:val="000000"/>
          <w:sz w:val="24"/>
          <w:szCs w:val="24"/>
        </w:rPr>
        <w:t xml:space="preserve">and the Buyer shall not unreasonably withhold approval to the costs associated with such Billable Works; </w:t>
      </w:r>
      <w:proofErr w:type="gramStart"/>
      <w:r>
        <w:rPr>
          <w:rFonts w:ascii="Arial" w:eastAsia="Arial" w:hAnsi="Arial"/>
          <w:color w:val="000000"/>
          <w:sz w:val="24"/>
          <w:szCs w:val="24"/>
        </w:rPr>
        <w:t>however</w:t>
      </w:r>
      <w:proofErr w:type="gramEnd"/>
      <w:r>
        <w:rPr>
          <w:rFonts w:ascii="Arial" w:eastAsia="Arial" w:hAnsi="Arial"/>
          <w:color w:val="000000"/>
          <w:sz w:val="24"/>
          <w:szCs w:val="24"/>
        </w:rPr>
        <w:t xml:space="preserve"> the Supplier shall retrospectively commence the relevant process set out in paragraph 3.1 </w:t>
      </w:r>
      <w:r w:rsidR="0071502D">
        <w:rPr>
          <w:rFonts w:ascii="Arial" w:eastAsia="Arial" w:hAnsi="Arial"/>
          <w:color w:val="000000"/>
          <w:sz w:val="24"/>
          <w:szCs w:val="24"/>
        </w:rPr>
        <w:t xml:space="preserve">above </w:t>
      </w:r>
      <w:r>
        <w:rPr>
          <w:rFonts w:ascii="Arial" w:eastAsia="Arial" w:hAnsi="Arial"/>
          <w:color w:val="000000"/>
          <w:sz w:val="24"/>
          <w:szCs w:val="24"/>
        </w:rPr>
        <w:t>by the next Working Day and complete such process as soon as reasonably practicable.</w:t>
      </w:r>
    </w:p>
    <w:p w14:paraId="00000032" w14:textId="77777777"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Where Billable Works arise as a result of any:</w:t>
      </w:r>
    </w:p>
    <w:p w14:paraId="00000033"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Reactive Maintenance Works where the costs exceed the Inclusive Repair Threshold;</w:t>
      </w:r>
    </w:p>
    <w:p w14:paraId="00000034"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lastRenderedPageBreak/>
        <w:t xml:space="preserve">Works that are Small Works; or </w:t>
      </w:r>
    </w:p>
    <w:p w14:paraId="00000035" w14:textId="2FFC41AC"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Works arising from </w:t>
      </w:r>
      <w:r w:rsidR="0071502D" w:rsidRPr="008E7BE5">
        <w:rPr>
          <w:rFonts w:ascii="Arial" w:eastAsia="Arial" w:hAnsi="Arial"/>
          <w:color w:val="222222"/>
          <w:sz w:val="24"/>
          <w:szCs w:val="24"/>
          <w:highlight w:val="white"/>
        </w:rPr>
        <w:t>PPM,</w:t>
      </w:r>
      <w:r w:rsidRPr="008E7BE5">
        <w:rPr>
          <w:rFonts w:ascii="Arial" w:eastAsia="Arial" w:hAnsi="Arial"/>
          <w:color w:val="222222"/>
          <w:sz w:val="24"/>
          <w:szCs w:val="24"/>
          <w:highlight w:val="white"/>
        </w:rPr>
        <w:t xml:space="preserve"> </w:t>
      </w:r>
    </w:p>
    <w:p w14:paraId="00000036" w14:textId="77777777" w:rsidR="004D6CD8" w:rsidRDefault="000D370D" w:rsidP="008E7BE5">
      <w:pPr>
        <w:pBdr>
          <w:top w:val="nil"/>
          <w:left w:val="nil"/>
          <w:bottom w:val="nil"/>
          <w:right w:val="nil"/>
          <w:between w:val="nil"/>
        </w:pBdr>
        <w:spacing w:before="120" w:after="120"/>
        <w:ind w:left="1080"/>
        <w:rPr>
          <w:rFonts w:ascii="Arial" w:eastAsia="Arial" w:hAnsi="Arial"/>
          <w:color w:val="000000"/>
          <w:sz w:val="24"/>
          <w:szCs w:val="24"/>
        </w:rPr>
      </w:pPr>
      <w:r>
        <w:rPr>
          <w:rFonts w:ascii="Arial" w:eastAsia="Arial" w:hAnsi="Arial"/>
          <w:color w:val="000000"/>
          <w:sz w:val="24"/>
          <w:szCs w:val="24"/>
        </w:rPr>
        <w:t xml:space="preserve">the Billable Works shall not proceed until an instruction is received from the Buyer in writing or via the CAFM System </w:t>
      </w:r>
      <w:r>
        <w:rPr>
          <w:rFonts w:ascii="Arial" w:eastAsia="Arial" w:hAnsi="Arial"/>
          <w:sz w:val="24"/>
          <w:szCs w:val="24"/>
        </w:rPr>
        <w:t>or any alternative system as defined by the Buyer</w:t>
      </w:r>
      <w:r>
        <w:rPr>
          <w:rFonts w:ascii="Arial" w:eastAsia="Arial" w:hAnsi="Arial"/>
          <w:color w:val="000000"/>
          <w:sz w:val="24"/>
          <w:szCs w:val="24"/>
        </w:rPr>
        <w:t xml:space="preserve">. </w:t>
      </w:r>
    </w:p>
    <w:p w14:paraId="00000037" w14:textId="7B7040C4" w:rsidR="004D6CD8" w:rsidRDefault="000D370D" w:rsidP="008E7BE5">
      <w:pPr>
        <w:numPr>
          <w:ilvl w:val="1"/>
          <w:numId w:val="1"/>
        </w:numPr>
        <w:pBdr>
          <w:top w:val="nil"/>
          <w:left w:val="nil"/>
          <w:bottom w:val="nil"/>
          <w:right w:val="nil"/>
          <w:between w:val="nil"/>
        </w:pBdr>
        <w:tabs>
          <w:tab w:val="left" w:pos="1985"/>
          <w:tab w:val="left" w:pos="2127"/>
        </w:tabs>
        <w:spacing w:before="120" w:after="120"/>
        <w:rPr>
          <w:rFonts w:ascii="Arial" w:eastAsia="Arial" w:hAnsi="Arial"/>
          <w:color w:val="000000"/>
        </w:rPr>
      </w:pPr>
      <w:r>
        <w:rPr>
          <w:rFonts w:ascii="Arial" w:eastAsia="Arial" w:hAnsi="Arial"/>
          <w:color w:val="000000"/>
          <w:sz w:val="24"/>
          <w:szCs w:val="24"/>
        </w:rPr>
        <w:t>Quotations for Billable Works may include the Billable Works Management Uplift Percentage (if applicable).</w:t>
      </w:r>
    </w:p>
    <w:p w14:paraId="00000038" w14:textId="77777777" w:rsidR="004D6CD8" w:rsidRDefault="000D370D" w:rsidP="008E7BE5">
      <w:pPr>
        <w:numPr>
          <w:ilvl w:val="1"/>
          <w:numId w:val="1"/>
        </w:numPr>
        <w:spacing w:before="120" w:after="120"/>
        <w:rPr>
          <w:rFonts w:ascii="Arial" w:eastAsia="Arial" w:hAnsi="Arial"/>
        </w:rPr>
      </w:pPr>
      <w:r>
        <w:rPr>
          <w:rFonts w:ascii="Arial" w:eastAsia="Arial" w:hAnsi="Arial"/>
          <w:sz w:val="24"/>
          <w:szCs w:val="24"/>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p>
    <w:p w14:paraId="00000039" w14:textId="4E8BEFC4" w:rsidR="004D6CD8" w:rsidRDefault="000D370D" w:rsidP="008E7BE5">
      <w:pPr>
        <w:numPr>
          <w:ilvl w:val="1"/>
          <w:numId w:val="1"/>
        </w:numPr>
        <w:spacing w:before="120" w:after="120"/>
        <w:rPr>
          <w:rFonts w:ascii="Arial" w:eastAsia="Arial" w:hAnsi="Arial"/>
        </w:rPr>
      </w:pPr>
      <w:r>
        <w:rPr>
          <w:rFonts w:ascii="Arial" w:eastAsia="Arial" w:hAnsi="Arial"/>
          <w:sz w:val="24"/>
          <w:szCs w:val="24"/>
        </w:rPr>
        <w:t>On receipt of the Supplier</w:t>
      </w:r>
      <w:r w:rsidR="00E47F01">
        <w:rPr>
          <w:rFonts w:ascii="Arial" w:eastAsia="Arial" w:hAnsi="Arial"/>
          <w:sz w:val="24"/>
          <w:szCs w:val="24"/>
        </w:rPr>
        <w:t>'</w:t>
      </w:r>
      <w:r>
        <w:rPr>
          <w:rFonts w:ascii="Arial" w:eastAsia="Arial" w:hAnsi="Arial"/>
          <w:sz w:val="24"/>
          <w:szCs w:val="24"/>
        </w:rPr>
        <w:t>s breakdown and evidence, the Buyer shall either:</w:t>
      </w:r>
    </w:p>
    <w:p w14:paraId="0000003A"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Notify the Supplier in writing of acceptance of the costs;</w:t>
      </w:r>
    </w:p>
    <w:p w14:paraId="0000003B"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Request further information/evidence; and/or</w:t>
      </w:r>
    </w:p>
    <w:p w14:paraId="0000003C"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Request a meeting to discuss/clarify the evidence provided.</w:t>
      </w:r>
    </w:p>
    <w:p w14:paraId="0000003D" w14:textId="77777777" w:rsidR="004D6CD8" w:rsidRDefault="000D370D" w:rsidP="008E7BE5">
      <w:pPr>
        <w:numPr>
          <w:ilvl w:val="1"/>
          <w:numId w:val="1"/>
        </w:numPr>
        <w:tabs>
          <w:tab w:val="left" w:pos="1985"/>
        </w:tabs>
        <w:spacing w:before="120" w:after="120"/>
        <w:rPr>
          <w:rFonts w:ascii="Arial" w:eastAsia="Arial" w:hAnsi="Arial"/>
        </w:rPr>
      </w:pPr>
      <w:r>
        <w:rPr>
          <w:rFonts w:ascii="Arial" w:eastAsia="Arial" w:hAnsi="Arial"/>
          <w:sz w:val="24"/>
          <w:szCs w:val="24"/>
        </w:rPr>
        <w:t xml:space="preserve">Where the costs are agreed following the receipt of further information/evidence or following a meeting, the Buyer shall notify the Supplier in writing and confirm the costs are to apply. </w:t>
      </w:r>
    </w:p>
    <w:p w14:paraId="0000003E" w14:textId="77777777" w:rsidR="004D6CD8" w:rsidRDefault="000D370D" w:rsidP="008E7BE5">
      <w:pPr>
        <w:numPr>
          <w:ilvl w:val="1"/>
          <w:numId w:val="1"/>
        </w:numPr>
        <w:tabs>
          <w:tab w:val="left" w:pos="1985"/>
        </w:tabs>
        <w:spacing w:before="120" w:after="120"/>
        <w:rPr>
          <w:rFonts w:ascii="Arial" w:eastAsia="Arial" w:hAnsi="Arial"/>
        </w:rPr>
      </w:pPr>
      <w:r>
        <w:rPr>
          <w:rFonts w:ascii="Arial" w:eastAsia="Arial" w:hAnsi="Arial"/>
          <w:sz w:val="24"/>
          <w:szCs w:val="24"/>
        </w:rPr>
        <w:t>In the event that the Parties are unable to agree the costs the Parties shall follow the Dispute Resolution Procedure.</w:t>
      </w:r>
    </w:p>
    <w:p w14:paraId="0000003F" w14:textId="77777777" w:rsidR="004D6CD8" w:rsidRDefault="000D370D" w:rsidP="008E7BE5">
      <w:pPr>
        <w:numPr>
          <w:ilvl w:val="0"/>
          <w:numId w:val="1"/>
        </w:numPr>
        <w:pBdr>
          <w:top w:val="nil"/>
          <w:left w:val="nil"/>
          <w:bottom w:val="nil"/>
          <w:right w:val="nil"/>
          <w:between w:val="nil"/>
        </w:pBdr>
        <w:spacing w:before="120" w:after="120"/>
        <w:ind w:left="993" w:hanging="993"/>
        <w:rPr>
          <w:rFonts w:ascii="Arial" w:eastAsia="Arial" w:hAnsi="Arial"/>
        </w:rPr>
      </w:pPr>
      <w:r>
        <w:rPr>
          <w:rFonts w:ascii="Arial" w:eastAsia="Arial" w:hAnsi="Arial"/>
          <w:b/>
          <w:smallCaps/>
          <w:sz w:val="24"/>
          <w:szCs w:val="24"/>
        </w:rPr>
        <w:t xml:space="preserve">RIBA </w:t>
      </w:r>
      <w:r>
        <w:rPr>
          <w:rFonts w:ascii="Arial" w:eastAsia="Arial" w:hAnsi="Arial"/>
          <w:b/>
          <w:sz w:val="24"/>
          <w:szCs w:val="24"/>
        </w:rPr>
        <w:t>Projects</w:t>
      </w:r>
    </w:p>
    <w:p w14:paraId="00000040" w14:textId="207B98EC"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 xml:space="preserve">If the Buyer decides at its sole discretion that the scope of any Billable Works </w:t>
      </w:r>
      <w:proofErr w:type="gramStart"/>
      <w:r>
        <w:rPr>
          <w:rFonts w:ascii="Arial" w:eastAsia="Arial" w:hAnsi="Arial"/>
          <w:color w:val="000000"/>
          <w:sz w:val="24"/>
          <w:szCs w:val="24"/>
        </w:rPr>
        <w:t>are</w:t>
      </w:r>
      <w:proofErr w:type="gramEnd"/>
      <w:r>
        <w:rPr>
          <w:rFonts w:ascii="Arial" w:eastAsia="Arial" w:hAnsi="Arial"/>
          <w:color w:val="000000"/>
          <w:sz w:val="24"/>
          <w:szCs w:val="24"/>
        </w:rPr>
        <w:t xml:space="preserve"> such that they require a defined management approach such that the RIBA “Plan of Work” management principles shall apply</w:t>
      </w:r>
      <w:r w:rsidR="00E47F01">
        <w:rPr>
          <w:rFonts w:ascii="Arial" w:eastAsia="Arial" w:hAnsi="Arial"/>
          <w:color w:val="000000"/>
          <w:sz w:val="24"/>
          <w:szCs w:val="24"/>
        </w:rPr>
        <w:t>,</w:t>
      </w:r>
      <w:r>
        <w:rPr>
          <w:rFonts w:ascii="Arial" w:eastAsia="Arial" w:hAnsi="Arial"/>
          <w:color w:val="000000"/>
          <w:sz w:val="24"/>
          <w:szCs w:val="24"/>
        </w:rPr>
        <w:t xml:space="preserve"> then the Billable Works will be deemed to be a Project</w:t>
      </w:r>
      <w:r>
        <w:rPr>
          <w:rFonts w:ascii="Arial" w:eastAsia="Arial" w:hAnsi="Arial"/>
          <w:sz w:val="24"/>
          <w:szCs w:val="24"/>
        </w:rPr>
        <w:t xml:space="preserve"> and not a Billable Work.</w:t>
      </w:r>
    </w:p>
    <w:p w14:paraId="00000041" w14:textId="77777777"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 xml:space="preserve">If it is deemed as a RIBA Project, the Project Stage </w:t>
      </w:r>
      <w:r>
        <w:rPr>
          <w:rFonts w:ascii="Arial" w:eastAsia="Arial" w:hAnsi="Arial"/>
          <w:sz w:val="24"/>
          <w:szCs w:val="24"/>
        </w:rPr>
        <w:t xml:space="preserve">Uplift </w:t>
      </w:r>
      <w:r>
        <w:rPr>
          <w:rFonts w:ascii="Arial" w:eastAsia="Arial" w:hAnsi="Arial"/>
          <w:color w:val="000000"/>
          <w:sz w:val="24"/>
          <w:szCs w:val="24"/>
        </w:rPr>
        <w:t xml:space="preserve">will apply as stated in the Pricing Matrix. </w:t>
      </w:r>
    </w:p>
    <w:p w14:paraId="00000042" w14:textId="77777777"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 xml:space="preserve">It is agreed that the Project Stage </w:t>
      </w:r>
      <w:r>
        <w:rPr>
          <w:rFonts w:ascii="Arial" w:eastAsia="Arial" w:hAnsi="Arial"/>
          <w:sz w:val="24"/>
          <w:szCs w:val="24"/>
        </w:rPr>
        <w:t>Uplift</w:t>
      </w:r>
      <w:r>
        <w:rPr>
          <w:rFonts w:ascii="Arial" w:eastAsia="Arial" w:hAnsi="Arial"/>
          <w:color w:val="000000"/>
          <w:sz w:val="24"/>
          <w:szCs w:val="24"/>
        </w:rPr>
        <w:t xml:space="preserve"> shall always be applied to the value of a Project prior to any profit.</w:t>
      </w:r>
    </w:p>
    <w:p w14:paraId="00000043" w14:textId="77777777"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If a RIBA Project is aborted by the Buyer prior to completion, if applicable, the relevant Project Stage Uplift will be applied up to the point at which it is aborted based on the agreed estimated cost of the Project.</w:t>
      </w:r>
    </w:p>
    <w:p w14:paraId="00000044" w14:textId="77777777"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p>
    <w:p w14:paraId="00000045" w14:textId="77777777" w:rsidR="004D6CD8" w:rsidRDefault="000D370D" w:rsidP="008E7BE5">
      <w:pPr>
        <w:numPr>
          <w:ilvl w:val="0"/>
          <w:numId w:val="1"/>
        </w:numPr>
        <w:pBdr>
          <w:top w:val="nil"/>
          <w:left w:val="nil"/>
          <w:bottom w:val="nil"/>
          <w:right w:val="nil"/>
          <w:between w:val="nil"/>
        </w:pBdr>
        <w:spacing w:before="120" w:after="120"/>
        <w:ind w:left="993" w:hanging="993"/>
        <w:rPr>
          <w:rFonts w:ascii="Arial" w:eastAsia="Arial" w:hAnsi="Arial"/>
        </w:rPr>
      </w:pPr>
      <w:bookmarkStart w:id="12" w:name="_heading=h.tyjcwt" w:colFirst="0" w:colLast="0"/>
      <w:bookmarkEnd w:id="12"/>
      <w:r>
        <w:rPr>
          <w:rFonts w:ascii="Arial" w:eastAsia="Arial" w:hAnsi="Arial"/>
          <w:b/>
          <w:sz w:val="24"/>
          <w:szCs w:val="24"/>
        </w:rPr>
        <w:t>General Projects</w:t>
      </w:r>
    </w:p>
    <w:p w14:paraId="00000046" w14:textId="4ECF0103" w:rsidR="004D6CD8" w:rsidRDefault="000D370D" w:rsidP="008E7BE5">
      <w:pPr>
        <w:numPr>
          <w:ilvl w:val="1"/>
          <w:numId w:val="1"/>
        </w:numPr>
        <w:pBdr>
          <w:top w:val="nil"/>
          <w:left w:val="nil"/>
          <w:bottom w:val="nil"/>
          <w:right w:val="nil"/>
          <w:between w:val="nil"/>
        </w:pBdr>
        <w:spacing w:before="240"/>
        <w:rPr>
          <w:rFonts w:ascii="Arial" w:eastAsia="Arial" w:hAnsi="Arial"/>
        </w:rPr>
      </w:pPr>
      <w:r>
        <w:rPr>
          <w:rFonts w:ascii="Arial" w:eastAsia="Arial" w:hAnsi="Arial"/>
          <w:sz w:val="24"/>
          <w:szCs w:val="24"/>
        </w:rPr>
        <w:lastRenderedPageBreak/>
        <w:t xml:space="preserve">If the Buyer decides at its sole discretion that the scope of any Billable Works </w:t>
      </w:r>
      <w:proofErr w:type="gramStart"/>
      <w:r>
        <w:rPr>
          <w:rFonts w:ascii="Arial" w:eastAsia="Arial" w:hAnsi="Arial"/>
          <w:sz w:val="24"/>
          <w:szCs w:val="24"/>
        </w:rPr>
        <w:t>are</w:t>
      </w:r>
      <w:proofErr w:type="gramEnd"/>
      <w:r>
        <w:rPr>
          <w:rFonts w:ascii="Arial" w:eastAsia="Arial" w:hAnsi="Arial"/>
          <w:sz w:val="24"/>
          <w:szCs w:val="24"/>
        </w:rPr>
        <w:t xml:space="preserve"> such that they require a defined management approach other than the RIBA plan of works, this will be deemed to be a General Project and the management approach will be defined by the Buyer as part of</w:t>
      </w:r>
      <w:r w:rsidR="00CC7786">
        <w:rPr>
          <w:rFonts w:ascii="Arial" w:eastAsia="Arial" w:hAnsi="Arial"/>
          <w:sz w:val="24"/>
          <w:szCs w:val="24"/>
        </w:rPr>
        <w:t xml:space="preserve"> submitting the </w:t>
      </w:r>
      <w:r w:rsidR="00D502F3">
        <w:rPr>
          <w:rFonts w:ascii="Arial" w:eastAsia="Arial" w:hAnsi="Arial"/>
          <w:color w:val="000000"/>
          <w:sz w:val="24"/>
          <w:szCs w:val="24"/>
        </w:rPr>
        <w:t>Work Order</w:t>
      </w:r>
      <w:r>
        <w:rPr>
          <w:rFonts w:ascii="Arial" w:eastAsia="Arial" w:hAnsi="Arial"/>
          <w:sz w:val="24"/>
          <w:szCs w:val="24"/>
        </w:rPr>
        <w:t>.</w:t>
      </w:r>
    </w:p>
    <w:p w14:paraId="00000047" w14:textId="67541B58" w:rsidR="004D6CD8" w:rsidRDefault="000D370D" w:rsidP="008E7BE5">
      <w:pPr>
        <w:numPr>
          <w:ilvl w:val="1"/>
          <w:numId w:val="1"/>
        </w:numPr>
        <w:pBdr>
          <w:top w:val="nil"/>
          <w:left w:val="nil"/>
          <w:bottom w:val="nil"/>
          <w:right w:val="nil"/>
          <w:between w:val="nil"/>
        </w:pBdr>
        <w:spacing w:before="120" w:after="0"/>
        <w:rPr>
          <w:rFonts w:ascii="Arial" w:eastAsia="Arial" w:hAnsi="Arial"/>
          <w:color w:val="000000"/>
        </w:rPr>
      </w:pPr>
      <w:r>
        <w:rPr>
          <w:rFonts w:ascii="Arial" w:eastAsia="Arial" w:hAnsi="Arial"/>
          <w:color w:val="000000"/>
          <w:sz w:val="24"/>
          <w:szCs w:val="24"/>
        </w:rPr>
        <w:t xml:space="preserve">The Supplier shall provide evidence of the resource allocation required to provide any Project at the time of quotation or tender and such associated costs must be agreed as acceptable by the Buyer prior to any </w:t>
      </w:r>
      <w:r w:rsidR="005D6656">
        <w:rPr>
          <w:rFonts w:ascii="Arial" w:eastAsia="Arial" w:hAnsi="Arial"/>
          <w:color w:val="000000"/>
          <w:sz w:val="24"/>
          <w:szCs w:val="24"/>
        </w:rPr>
        <w:t xml:space="preserve">Billable </w:t>
      </w:r>
      <w:r>
        <w:rPr>
          <w:rFonts w:ascii="Arial" w:eastAsia="Arial" w:hAnsi="Arial"/>
          <w:color w:val="000000"/>
          <w:sz w:val="24"/>
          <w:szCs w:val="24"/>
        </w:rPr>
        <w:t xml:space="preserve">Works which are part of a Project commencing. </w:t>
      </w:r>
    </w:p>
    <w:p w14:paraId="00000048" w14:textId="77777777" w:rsidR="004D6CD8" w:rsidRDefault="004D6CD8" w:rsidP="008E7BE5">
      <w:pPr>
        <w:pBdr>
          <w:top w:val="nil"/>
          <w:left w:val="nil"/>
          <w:bottom w:val="nil"/>
          <w:right w:val="nil"/>
          <w:between w:val="nil"/>
        </w:pBdr>
        <w:spacing w:after="120"/>
        <w:ind w:left="1080"/>
        <w:rPr>
          <w:rFonts w:ascii="Arial" w:eastAsia="Arial" w:hAnsi="Arial"/>
          <w:color w:val="000000"/>
        </w:rPr>
      </w:pPr>
    </w:p>
    <w:p w14:paraId="00000049" w14:textId="578A68E5" w:rsidR="004D6CD8" w:rsidRDefault="000D370D" w:rsidP="008E7BE5">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r w:rsidR="00D502F3">
        <w:rPr>
          <w:rFonts w:ascii="Arial" w:eastAsia="Arial" w:hAnsi="Arial"/>
          <w:sz w:val="24"/>
          <w:szCs w:val="24"/>
        </w:rPr>
        <w:t>.</w:t>
      </w:r>
    </w:p>
    <w:p w14:paraId="0000004A" w14:textId="695D989D" w:rsidR="004D6CD8" w:rsidRDefault="000D370D" w:rsidP="008E7BE5">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Pr>
          <w:rFonts w:ascii="Arial" w:eastAsia="Arial" w:hAnsi="Arial"/>
          <w:sz w:val="24"/>
          <w:szCs w:val="24"/>
        </w:rPr>
        <w:t xml:space="preserve">On </w:t>
      </w:r>
      <w:r>
        <w:rPr>
          <w:rFonts w:ascii="Arial" w:eastAsia="Arial" w:hAnsi="Arial"/>
          <w:color w:val="000000"/>
          <w:sz w:val="24"/>
          <w:szCs w:val="24"/>
        </w:rPr>
        <w:t xml:space="preserve">receipt of </w:t>
      </w:r>
      <w:r w:rsidRPr="008E7BE5">
        <w:rPr>
          <w:rFonts w:ascii="Arial" w:eastAsia="Arial" w:hAnsi="Arial"/>
          <w:sz w:val="24"/>
          <w:szCs w:val="24"/>
        </w:rPr>
        <w:t>the</w:t>
      </w:r>
      <w:r>
        <w:rPr>
          <w:rFonts w:ascii="Arial" w:eastAsia="Arial" w:hAnsi="Arial"/>
          <w:color w:val="000000"/>
          <w:sz w:val="24"/>
          <w:szCs w:val="24"/>
        </w:rPr>
        <w:t xml:space="preserve"> Supplier</w:t>
      </w:r>
      <w:r w:rsidR="00D502F3">
        <w:rPr>
          <w:rFonts w:ascii="Arial" w:eastAsia="Arial" w:hAnsi="Arial"/>
          <w:color w:val="000000"/>
          <w:sz w:val="24"/>
          <w:szCs w:val="24"/>
        </w:rPr>
        <w:t>'</w:t>
      </w:r>
      <w:r>
        <w:rPr>
          <w:rFonts w:ascii="Arial" w:eastAsia="Arial" w:hAnsi="Arial"/>
          <w:color w:val="000000"/>
          <w:sz w:val="24"/>
          <w:szCs w:val="24"/>
        </w:rPr>
        <w:t>s breakdown and evidence, the Buyer shall either:</w:t>
      </w:r>
    </w:p>
    <w:p w14:paraId="0000004B"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Notify the Supplier in writing of acceptance of the costs;</w:t>
      </w:r>
    </w:p>
    <w:p w14:paraId="0000004C"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Request further information/evidence; and/or</w:t>
      </w:r>
    </w:p>
    <w:p w14:paraId="0000004D"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Request a meeting to discuss/clarify the evidence provided.</w:t>
      </w:r>
    </w:p>
    <w:p w14:paraId="0000004E" w14:textId="77777777" w:rsidR="004D6CD8" w:rsidRPr="008E7BE5" w:rsidRDefault="000D370D" w:rsidP="008E7BE5">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sidRPr="008E7BE5">
        <w:rPr>
          <w:rFonts w:ascii="Arial" w:eastAsia="Arial" w:hAnsi="Arial"/>
          <w:sz w:val="24"/>
          <w:szCs w:val="24"/>
        </w:rPr>
        <w:t xml:space="preserve">Where the costs are agreed following the receipt of further information/evidence or following a meeting, the Buyer shall notify the Supplier in writing and confirm the costs are to apply. </w:t>
      </w:r>
    </w:p>
    <w:p w14:paraId="0000004F" w14:textId="77777777" w:rsidR="004D6CD8" w:rsidRPr="008E7BE5" w:rsidRDefault="000D370D" w:rsidP="008E7BE5">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sidRPr="008E7BE5">
        <w:rPr>
          <w:rFonts w:ascii="Arial" w:eastAsia="Arial" w:hAnsi="Arial"/>
          <w:sz w:val="24"/>
          <w:szCs w:val="24"/>
        </w:rPr>
        <w:t>In the event that the Parties are unable to agree the costs the Parties shall follow the Dispute Resolution Procedure.</w:t>
      </w:r>
    </w:p>
    <w:p w14:paraId="00000050" w14:textId="77777777" w:rsidR="004D6CD8" w:rsidRDefault="000D370D" w:rsidP="008E7BE5">
      <w:pPr>
        <w:numPr>
          <w:ilvl w:val="0"/>
          <w:numId w:val="1"/>
        </w:numPr>
        <w:pBdr>
          <w:top w:val="nil"/>
          <w:left w:val="nil"/>
          <w:bottom w:val="nil"/>
          <w:right w:val="nil"/>
          <w:between w:val="nil"/>
        </w:pBdr>
        <w:spacing w:before="120" w:after="120"/>
        <w:ind w:left="993" w:hanging="993"/>
        <w:rPr>
          <w:rFonts w:ascii="Arial" w:eastAsia="Arial" w:hAnsi="Arial"/>
        </w:rPr>
      </w:pPr>
      <w:r>
        <w:rPr>
          <w:rFonts w:ascii="Arial" w:eastAsia="Arial" w:hAnsi="Arial"/>
          <w:b/>
          <w:sz w:val="24"/>
          <w:szCs w:val="24"/>
        </w:rPr>
        <w:t>Inclusive Repair Threshold</w:t>
      </w:r>
    </w:p>
    <w:p w14:paraId="00000051" w14:textId="77777777" w:rsidR="004D6CD8" w:rsidRDefault="000D370D" w:rsidP="008E7BE5">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 xml:space="preserve">The Supplier shall note that with the exception of emergencies or Business Critical Events, no activity with a value in excess of the agreed Inclusive Repair Threshold shall be undertaken without a Work Order. </w:t>
      </w:r>
    </w:p>
    <w:p w14:paraId="6760D6F5" w14:textId="3D6C214D" w:rsidR="00BF26B5" w:rsidRPr="00894068" w:rsidRDefault="002F2A8A" w:rsidP="00CC4113">
      <w:pPr>
        <w:numPr>
          <w:ilvl w:val="1"/>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 xml:space="preserve">Only </w:t>
      </w:r>
      <w:r w:rsidR="000D370D">
        <w:rPr>
          <w:rFonts w:ascii="Arial" w:eastAsia="Arial" w:hAnsi="Arial"/>
          <w:color w:val="000000"/>
          <w:sz w:val="24"/>
          <w:szCs w:val="24"/>
        </w:rPr>
        <w:t xml:space="preserve">the costs of Reactive Maintenance Works </w:t>
      </w:r>
      <w:r>
        <w:rPr>
          <w:rFonts w:ascii="Arial" w:eastAsia="Arial" w:hAnsi="Arial"/>
          <w:color w:val="000000"/>
          <w:sz w:val="24"/>
          <w:szCs w:val="24"/>
        </w:rPr>
        <w:t xml:space="preserve">that </w:t>
      </w:r>
      <w:r w:rsidR="000D370D">
        <w:rPr>
          <w:rFonts w:ascii="Arial" w:eastAsia="Arial" w:hAnsi="Arial"/>
          <w:color w:val="000000"/>
          <w:sz w:val="24"/>
          <w:szCs w:val="24"/>
        </w:rPr>
        <w:t xml:space="preserve">exceed the </w:t>
      </w:r>
      <w:r w:rsidR="000D370D" w:rsidRPr="00C6509C">
        <w:rPr>
          <w:rFonts w:ascii="Arial" w:eastAsia="Arial" w:hAnsi="Arial"/>
          <w:color w:val="000000"/>
          <w:sz w:val="24"/>
          <w:szCs w:val="24"/>
        </w:rPr>
        <w:t>Inclusive Repair Threshold</w:t>
      </w:r>
      <w:r>
        <w:rPr>
          <w:rFonts w:ascii="Arial" w:eastAsia="Arial" w:hAnsi="Arial"/>
          <w:color w:val="000000"/>
          <w:sz w:val="24"/>
          <w:szCs w:val="24"/>
        </w:rPr>
        <w:t xml:space="preserve"> </w:t>
      </w:r>
      <w:r w:rsidR="000D370D">
        <w:rPr>
          <w:rFonts w:ascii="Arial" w:eastAsia="Arial" w:hAnsi="Arial"/>
          <w:color w:val="000000"/>
          <w:sz w:val="24"/>
          <w:szCs w:val="24"/>
        </w:rPr>
        <w:t>shall be</w:t>
      </w:r>
      <w:r w:rsidR="00841FA6">
        <w:rPr>
          <w:rFonts w:ascii="Arial" w:eastAsia="Arial" w:hAnsi="Arial"/>
          <w:color w:val="000000"/>
          <w:sz w:val="24"/>
          <w:szCs w:val="24"/>
        </w:rPr>
        <w:t xml:space="preserve"> </w:t>
      </w:r>
      <w:r>
        <w:rPr>
          <w:rFonts w:ascii="Arial" w:eastAsia="Arial" w:hAnsi="Arial"/>
          <w:color w:val="000000"/>
          <w:sz w:val="24"/>
          <w:szCs w:val="24"/>
        </w:rPr>
        <w:t xml:space="preserve">charged </w:t>
      </w:r>
      <w:r w:rsidR="000D370D">
        <w:rPr>
          <w:rFonts w:ascii="Arial" w:eastAsia="Arial" w:hAnsi="Arial"/>
          <w:color w:val="000000"/>
          <w:sz w:val="24"/>
          <w:szCs w:val="24"/>
        </w:rPr>
        <w:t xml:space="preserve">to the Buyer </w:t>
      </w:r>
      <w:r w:rsidR="00DE2B58">
        <w:rPr>
          <w:rFonts w:ascii="Arial" w:eastAsia="Arial" w:hAnsi="Arial"/>
          <w:color w:val="000000"/>
          <w:sz w:val="24"/>
          <w:szCs w:val="24"/>
        </w:rPr>
        <w:t>as a Billable Work Charge</w:t>
      </w:r>
      <w:r w:rsidR="00841FA6">
        <w:rPr>
          <w:rFonts w:ascii="Arial" w:eastAsia="Arial" w:hAnsi="Arial"/>
          <w:color w:val="000000"/>
          <w:sz w:val="24"/>
          <w:szCs w:val="24"/>
        </w:rPr>
        <w:t>.</w:t>
      </w:r>
      <w:r w:rsidR="00894068">
        <w:rPr>
          <w:rFonts w:ascii="Arial" w:eastAsia="Arial" w:hAnsi="Arial"/>
        </w:rPr>
        <w:t xml:space="preserve"> </w:t>
      </w:r>
    </w:p>
    <w:p w14:paraId="025CC0C8" w14:textId="6699F122" w:rsidR="00EB5708" w:rsidRPr="00E65BE0" w:rsidRDefault="000D370D" w:rsidP="00E65BE0">
      <w:pPr>
        <w:numPr>
          <w:ilvl w:val="1"/>
          <w:numId w:val="1"/>
        </w:numPr>
        <w:pBdr>
          <w:top w:val="nil"/>
          <w:left w:val="nil"/>
          <w:bottom w:val="nil"/>
          <w:right w:val="nil"/>
          <w:between w:val="nil"/>
        </w:pBdr>
        <w:tabs>
          <w:tab w:val="left" w:pos="1985"/>
        </w:tabs>
        <w:spacing w:before="120" w:after="120"/>
        <w:rPr>
          <w:rFonts w:ascii="Arial" w:eastAsia="Arial" w:hAnsi="Arial"/>
        </w:rPr>
      </w:pPr>
      <w:r>
        <w:rPr>
          <w:rFonts w:ascii="Arial" w:eastAsia="Arial" w:hAnsi="Arial"/>
          <w:color w:val="000000"/>
          <w:sz w:val="24"/>
          <w:szCs w:val="24"/>
        </w:rPr>
        <w:t xml:space="preserve">The Supplier shall supply and install all parts associated with Reactive Maintenance Works at its own cost. The Supplier shall note that, for the avoidance of doubt, this requirement includes the replacement of entire Assets as well as component </w:t>
      </w:r>
      <w:r>
        <w:rPr>
          <w:rFonts w:ascii="Arial" w:eastAsia="Arial" w:hAnsi="Arial"/>
          <w:sz w:val="24"/>
          <w:szCs w:val="24"/>
        </w:rPr>
        <w:t>parts</w:t>
      </w:r>
      <w:r>
        <w:rPr>
          <w:rFonts w:ascii="Arial" w:eastAsia="Arial" w:hAnsi="Arial"/>
          <w:color w:val="000000"/>
          <w:sz w:val="24"/>
          <w:szCs w:val="24"/>
        </w:rPr>
        <w:t xml:space="preserve"> of Assets where replacement is deemed appropriate.</w:t>
      </w:r>
    </w:p>
    <w:p w14:paraId="00000054" w14:textId="77777777" w:rsidR="004D6CD8" w:rsidRDefault="000D370D" w:rsidP="008E7BE5">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 xml:space="preserve">The Supplier shall maximise the benefits of its own buying power by being granted access to and exploring other CCS </w:t>
      </w:r>
      <w:r>
        <w:rPr>
          <w:rFonts w:ascii="Arial" w:eastAsia="Arial" w:hAnsi="Arial"/>
          <w:sz w:val="24"/>
          <w:szCs w:val="24"/>
        </w:rPr>
        <w:t>commercial agreement</w:t>
      </w:r>
      <w:r>
        <w:rPr>
          <w:rFonts w:ascii="Arial" w:eastAsia="Arial" w:hAnsi="Arial"/>
          <w:color w:val="000000"/>
          <w:sz w:val="24"/>
          <w:szCs w:val="24"/>
        </w:rPr>
        <w:t xml:space="preserve">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w:t>
      </w:r>
      <w:r>
        <w:rPr>
          <w:rFonts w:ascii="Arial" w:eastAsia="Arial" w:hAnsi="Arial"/>
          <w:color w:val="000000"/>
          <w:sz w:val="24"/>
          <w:szCs w:val="24"/>
        </w:rPr>
        <w:lastRenderedPageBreak/>
        <w:t>Supplier shall utilise the Buyer’s parts agreements, where any such agreements exist.</w:t>
      </w:r>
    </w:p>
    <w:p w14:paraId="00000055" w14:textId="77777777" w:rsidR="004D6CD8" w:rsidRDefault="000D370D" w:rsidP="008E7BE5">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 xml:space="preserve">The Supplier shall source parts at the most </w:t>
      </w:r>
      <w:proofErr w:type="gramStart"/>
      <w:r>
        <w:rPr>
          <w:rFonts w:ascii="Arial" w:eastAsia="Arial" w:hAnsi="Arial"/>
          <w:color w:val="000000"/>
          <w:sz w:val="24"/>
          <w:szCs w:val="24"/>
        </w:rPr>
        <w:t>cost effective</w:t>
      </w:r>
      <w:proofErr w:type="gramEnd"/>
      <w:r>
        <w:rPr>
          <w:rFonts w:ascii="Arial" w:eastAsia="Arial" w:hAnsi="Arial"/>
          <w:color w:val="000000"/>
          <w:sz w:val="24"/>
          <w:szCs w:val="24"/>
        </w:rPr>
        <w:t xml:space="preser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p>
    <w:p w14:paraId="00000056" w14:textId="2924DA93" w:rsidR="004D6CD8" w:rsidRDefault="000D370D" w:rsidP="008E7BE5">
      <w:pPr>
        <w:numPr>
          <w:ilvl w:val="1"/>
          <w:numId w:val="1"/>
        </w:numPr>
        <w:pBdr>
          <w:top w:val="nil"/>
          <w:left w:val="nil"/>
          <w:bottom w:val="nil"/>
          <w:right w:val="nil"/>
          <w:between w:val="nil"/>
        </w:pBdr>
        <w:spacing w:before="240"/>
        <w:rPr>
          <w:rFonts w:ascii="Arial" w:eastAsia="Arial" w:hAnsi="Arial"/>
          <w:sz w:val="24"/>
          <w:szCs w:val="24"/>
        </w:rPr>
      </w:pPr>
      <w:r>
        <w:rPr>
          <w:rFonts w:ascii="Arial" w:eastAsia="Arial" w:hAnsi="Arial"/>
          <w:color w:val="000000"/>
          <w:sz w:val="24"/>
          <w:szCs w:val="24"/>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w:t>
      </w:r>
      <w:proofErr w:type="gramStart"/>
      <w:r>
        <w:rPr>
          <w:rFonts w:ascii="Arial" w:eastAsia="Arial" w:hAnsi="Arial"/>
          <w:color w:val="000000"/>
          <w:sz w:val="24"/>
          <w:szCs w:val="24"/>
        </w:rPr>
        <w:t>however</w:t>
      </w:r>
      <w:proofErr w:type="gramEnd"/>
      <w:r>
        <w:rPr>
          <w:rFonts w:ascii="Arial" w:eastAsia="Arial" w:hAnsi="Arial"/>
          <w:color w:val="000000"/>
          <w:sz w:val="24"/>
          <w:szCs w:val="24"/>
        </w:rPr>
        <w:t xml:space="preserve"> the Supplier shall retrospectively commence the relevant approval process set out in paragraph 6.1 by the next Working Day and complete such process as soon as reasonably practicable</w:t>
      </w:r>
      <w:r w:rsidR="00D502F3">
        <w:rPr>
          <w:rFonts w:ascii="Arial" w:eastAsia="Arial" w:hAnsi="Arial"/>
          <w:color w:val="000000"/>
          <w:sz w:val="24"/>
          <w:szCs w:val="24"/>
        </w:rPr>
        <w:t>.</w:t>
      </w:r>
    </w:p>
    <w:p w14:paraId="00000057" w14:textId="355D11D5" w:rsidR="004D6CD8" w:rsidRDefault="000D370D" w:rsidP="008E7BE5">
      <w:pPr>
        <w:numPr>
          <w:ilvl w:val="1"/>
          <w:numId w:val="1"/>
        </w:numPr>
        <w:pBdr>
          <w:top w:val="nil"/>
          <w:left w:val="nil"/>
          <w:bottom w:val="nil"/>
          <w:right w:val="nil"/>
          <w:between w:val="nil"/>
        </w:pBdr>
        <w:spacing w:before="240"/>
        <w:rPr>
          <w:rFonts w:ascii="Arial" w:eastAsia="Arial" w:hAnsi="Arial"/>
        </w:rPr>
      </w:pPr>
      <w:r>
        <w:rPr>
          <w:rFonts w:ascii="Arial" w:eastAsia="Arial" w:hAnsi="Arial"/>
          <w:color w:val="000000"/>
          <w:sz w:val="24"/>
          <w:szCs w:val="24"/>
        </w:rPr>
        <w:t xml:space="preserve">Where </w:t>
      </w:r>
      <w:r w:rsidR="00D502F3">
        <w:rPr>
          <w:rFonts w:ascii="Arial" w:eastAsia="Arial" w:hAnsi="Arial"/>
          <w:color w:val="000000"/>
          <w:sz w:val="24"/>
          <w:szCs w:val="24"/>
        </w:rPr>
        <w:t>Billable W</w:t>
      </w:r>
      <w:r>
        <w:rPr>
          <w:rFonts w:ascii="Arial" w:eastAsia="Arial" w:hAnsi="Arial"/>
          <w:color w:val="000000"/>
          <w:sz w:val="24"/>
          <w:szCs w:val="24"/>
        </w:rPr>
        <w:t>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w:t>
      </w:r>
    </w:p>
    <w:p w14:paraId="00000058" w14:textId="06CDA0B2"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equipment </w:t>
      </w:r>
      <w:r w:rsidR="005D1137">
        <w:rPr>
          <w:rFonts w:ascii="Arial" w:eastAsia="Arial" w:hAnsi="Arial"/>
          <w:color w:val="222222"/>
          <w:sz w:val="24"/>
          <w:szCs w:val="24"/>
          <w:highlight w:val="white"/>
        </w:rPr>
        <w:t>b</w:t>
      </w:r>
      <w:r w:rsidRPr="008E7BE5">
        <w:rPr>
          <w:rFonts w:ascii="Arial" w:eastAsia="Arial" w:hAnsi="Arial"/>
          <w:color w:val="222222"/>
          <w:sz w:val="24"/>
          <w:szCs w:val="24"/>
          <w:highlight w:val="white"/>
        </w:rPr>
        <w:t xml:space="preserve">eyond </w:t>
      </w:r>
      <w:r w:rsidR="005D1137">
        <w:rPr>
          <w:rFonts w:ascii="Arial" w:eastAsia="Arial" w:hAnsi="Arial"/>
          <w:color w:val="222222"/>
          <w:sz w:val="24"/>
          <w:szCs w:val="24"/>
          <w:highlight w:val="white"/>
        </w:rPr>
        <w:t>e</w:t>
      </w:r>
      <w:r w:rsidRPr="008E7BE5">
        <w:rPr>
          <w:rFonts w:ascii="Arial" w:eastAsia="Arial" w:hAnsi="Arial"/>
          <w:color w:val="222222"/>
          <w:sz w:val="24"/>
          <w:szCs w:val="24"/>
          <w:highlight w:val="white"/>
        </w:rPr>
        <w:t xml:space="preserve">conomic </w:t>
      </w:r>
      <w:r w:rsidR="005D1137">
        <w:rPr>
          <w:rFonts w:ascii="Arial" w:eastAsia="Arial" w:hAnsi="Arial"/>
          <w:color w:val="222222"/>
          <w:sz w:val="24"/>
          <w:szCs w:val="24"/>
          <w:highlight w:val="white"/>
        </w:rPr>
        <w:t>r</w:t>
      </w:r>
      <w:r w:rsidRPr="008E7BE5">
        <w:rPr>
          <w:rFonts w:ascii="Arial" w:eastAsia="Arial" w:hAnsi="Arial"/>
          <w:color w:val="222222"/>
          <w:sz w:val="24"/>
          <w:szCs w:val="24"/>
          <w:highlight w:val="white"/>
        </w:rPr>
        <w:t>epair, where costs, excluding management overhead and profit, exceed the Inclusive Repair Threshold;</w:t>
      </w:r>
    </w:p>
    <w:p w14:paraId="00000059"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misuse of an Asset and/or abuse of an Asset where this can be proven by the Supplier;</w:t>
      </w:r>
    </w:p>
    <w:p w14:paraId="0000005A"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vandalism; </w:t>
      </w:r>
    </w:p>
    <w:p w14:paraId="0000005B"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damage or failure if due to continued use by the Buyer or building user after fault has been diagnosed and the Supplier has advised the Buyer not to use the Asset;</w:t>
      </w:r>
    </w:p>
    <w:p w14:paraId="0000005C"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the building user not following the Buyer or manufacturer’s operating procedural standards;</w:t>
      </w:r>
    </w:p>
    <w:p w14:paraId="0000005D"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other unapproved suppliers repairing Assets;</w:t>
      </w:r>
    </w:p>
    <w:p w14:paraId="0000005E"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water or cleaning fluid damage due to incorrect cleaning procedures by building users; </w:t>
      </w:r>
    </w:p>
    <w:p w14:paraId="0000005F"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damage or failure due to electrical supplies being interrupted or altered by others;</w:t>
      </w:r>
    </w:p>
    <w:p w14:paraId="00000060"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lastRenderedPageBreak/>
        <w:t>access denied to the Supplier where access had been agreed and prearranged;</w:t>
      </w:r>
    </w:p>
    <w:p w14:paraId="00000061" w14:textId="4E81F72A" w:rsidR="004D6CD8" w:rsidRPr="008E7BE5" w:rsidRDefault="00D502F3"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B</w:t>
      </w:r>
      <w:r w:rsidR="000D370D" w:rsidRPr="008E7BE5">
        <w:rPr>
          <w:rFonts w:ascii="Arial" w:eastAsia="Arial" w:hAnsi="Arial"/>
          <w:color w:val="222222"/>
          <w:sz w:val="24"/>
          <w:szCs w:val="24"/>
          <w:highlight w:val="white"/>
        </w:rPr>
        <w:t>uyer specifies a price variation;</w:t>
      </w:r>
    </w:p>
    <w:p w14:paraId="00000062" w14:textId="279E5FA1"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fire, leaks, act of god, storm damage, floods or similar </w:t>
      </w:r>
      <w:r w:rsidR="00D502F3" w:rsidRPr="008E7BE5">
        <w:rPr>
          <w:rFonts w:ascii="Arial" w:eastAsia="Arial" w:hAnsi="Arial"/>
          <w:color w:val="222222"/>
          <w:sz w:val="24"/>
          <w:szCs w:val="24"/>
          <w:highlight w:val="white"/>
        </w:rPr>
        <w:t>F</w:t>
      </w:r>
      <w:r w:rsidRPr="008E7BE5">
        <w:rPr>
          <w:rFonts w:ascii="Arial" w:eastAsia="Arial" w:hAnsi="Arial"/>
          <w:color w:val="222222"/>
          <w:sz w:val="24"/>
          <w:szCs w:val="24"/>
          <w:highlight w:val="white"/>
        </w:rPr>
        <w:t xml:space="preserve">orce </w:t>
      </w:r>
      <w:r w:rsidR="00D502F3" w:rsidRPr="008E7BE5">
        <w:rPr>
          <w:rFonts w:ascii="Arial" w:eastAsia="Arial" w:hAnsi="Arial"/>
          <w:color w:val="222222"/>
          <w:sz w:val="24"/>
          <w:szCs w:val="24"/>
          <w:highlight w:val="white"/>
        </w:rPr>
        <w:t>M</w:t>
      </w:r>
      <w:r w:rsidRPr="008E7BE5">
        <w:rPr>
          <w:rFonts w:ascii="Arial" w:eastAsia="Arial" w:hAnsi="Arial"/>
          <w:color w:val="222222"/>
          <w:sz w:val="24"/>
          <w:szCs w:val="24"/>
          <w:highlight w:val="white"/>
        </w:rPr>
        <w:t>ajeure</w:t>
      </w:r>
      <w:r w:rsidR="00D502F3" w:rsidRPr="008E7BE5">
        <w:rPr>
          <w:rFonts w:ascii="Arial" w:eastAsia="Arial" w:hAnsi="Arial"/>
          <w:color w:val="222222"/>
          <w:sz w:val="24"/>
          <w:szCs w:val="24"/>
          <w:highlight w:val="white"/>
        </w:rPr>
        <w:t xml:space="preserve"> Event</w:t>
      </w:r>
      <w:r w:rsidRPr="008E7BE5">
        <w:rPr>
          <w:rFonts w:ascii="Arial" w:eastAsia="Arial" w:hAnsi="Arial"/>
          <w:color w:val="222222"/>
          <w:sz w:val="24"/>
          <w:szCs w:val="24"/>
          <w:highlight w:val="white"/>
        </w:rPr>
        <w:t>; unless caused by an act or failure of the Supplier;</w:t>
      </w:r>
    </w:p>
    <w:p w14:paraId="00000063"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Billable Works;</w:t>
      </w:r>
    </w:p>
    <w:p w14:paraId="00000064"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that part of the cost of the Reactive Maintenance Works for an event which exceeds the Inclusive Repair Threshold; and</w:t>
      </w:r>
    </w:p>
    <w:p w14:paraId="00000065" w14:textId="77777777" w:rsidR="004D6CD8" w:rsidRPr="008E7BE5" w:rsidRDefault="000D370D" w:rsidP="008E7BE5">
      <w:pPr>
        <w:numPr>
          <w:ilvl w:val="2"/>
          <w:numId w:val="1"/>
        </w:numPr>
        <w:pBdr>
          <w:top w:val="nil"/>
          <w:left w:val="nil"/>
          <w:bottom w:val="nil"/>
          <w:right w:val="nil"/>
          <w:between w:val="nil"/>
        </w:pBdr>
        <w:spacing w:after="200"/>
        <w:ind w:left="2268" w:hanging="1134"/>
        <w:rPr>
          <w:rFonts w:ascii="Arial" w:eastAsia="Arial" w:hAnsi="Arial"/>
          <w:color w:val="222222"/>
          <w:sz w:val="24"/>
          <w:szCs w:val="24"/>
          <w:highlight w:val="white"/>
        </w:rPr>
      </w:pPr>
      <w:r w:rsidRPr="008E7BE5">
        <w:rPr>
          <w:rFonts w:ascii="Arial" w:eastAsia="Arial" w:hAnsi="Arial"/>
          <w:color w:val="222222"/>
          <w:sz w:val="24"/>
          <w:szCs w:val="24"/>
          <w:highlight w:val="white"/>
        </w:rPr>
        <w:t xml:space="preserve">operator error by a building user, where this can be proven by the Supplier. </w:t>
      </w:r>
    </w:p>
    <w:p w14:paraId="00000066" w14:textId="01C76428" w:rsidR="004D6CD8" w:rsidRDefault="000D370D" w:rsidP="008E7BE5">
      <w:pPr>
        <w:pBdr>
          <w:top w:val="nil"/>
          <w:left w:val="nil"/>
          <w:bottom w:val="nil"/>
          <w:right w:val="nil"/>
          <w:between w:val="nil"/>
        </w:pBdr>
        <w:spacing w:before="120" w:after="120"/>
        <w:ind w:left="1080"/>
        <w:rPr>
          <w:rFonts w:ascii="Arial" w:eastAsia="Arial" w:hAnsi="Arial"/>
          <w:sz w:val="24"/>
          <w:szCs w:val="24"/>
        </w:rPr>
      </w:pPr>
      <w:r>
        <w:rPr>
          <w:rFonts w:ascii="Arial" w:eastAsia="Arial" w:hAnsi="Arial"/>
          <w:color w:val="000000"/>
          <w:sz w:val="24"/>
          <w:szCs w:val="24"/>
        </w:rPr>
        <w:t xml:space="preserve">The above listed works include works arising from </w:t>
      </w:r>
      <w:r w:rsidR="00D502F3">
        <w:rPr>
          <w:rFonts w:ascii="Arial" w:eastAsia="Arial" w:hAnsi="Arial"/>
          <w:color w:val="000000"/>
          <w:sz w:val="24"/>
          <w:szCs w:val="24"/>
        </w:rPr>
        <w:t>PPM</w:t>
      </w:r>
      <w:r>
        <w:rPr>
          <w:rFonts w:ascii="Arial" w:eastAsia="Arial" w:hAnsi="Arial"/>
          <w:color w:val="000000"/>
          <w:sz w:val="24"/>
          <w:szCs w:val="24"/>
        </w:rPr>
        <w:t>.</w:t>
      </w:r>
    </w:p>
    <w:p w14:paraId="00000067" w14:textId="2E791728" w:rsidR="004D6CD8" w:rsidRDefault="000D370D" w:rsidP="008E7BE5">
      <w:pPr>
        <w:numPr>
          <w:ilvl w:val="1"/>
          <w:numId w:val="1"/>
        </w:numPr>
        <w:pBdr>
          <w:top w:val="nil"/>
          <w:left w:val="nil"/>
          <w:bottom w:val="nil"/>
          <w:right w:val="nil"/>
          <w:between w:val="nil"/>
        </w:pBdr>
        <w:spacing w:before="120" w:after="120"/>
        <w:rPr>
          <w:rFonts w:ascii="Arial" w:eastAsia="Arial" w:hAnsi="Arial"/>
        </w:rPr>
      </w:pPr>
      <w:r>
        <w:rPr>
          <w:rFonts w:ascii="Arial" w:eastAsia="Arial" w:hAnsi="Arial"/>
          <w:color w:val="000000"/>
          <w:sz w:val="24"/>
          <w:szCs w:val="24"/>
        </w:rPr>
        <w:t>A schedule of works arising from events listed in paragraph 6.</w:t>
      </w:r>
      <w:r>
        <w:rPr>
          <w:rFonts w:ascii="Arial" w:eastAsia="Arial" w:hAnsi="Arial"/>
          <w:sz w:val="24"/>
          <w:szCs w:val="24"/>
        </w:rPr>
        <w:t>7</w:t>
      </w:r>
      <w:r>
        <w:rPr>
          <w:rFonts w:ascii="Arial" w:eastAsia="Arial" w:hAnsi="Arial"/>
          <w:color w:val="000000"/>
          <w:sz w:val="24"/>
          <w:szCs w:val="24"/>
        </w:rPr>
        <w:t xml:space="preserve"> above shall be provided to the Buyer on a monthly basis and payment will be made through the defined approval process as agreed between the Buyer and the Supplier</w:t>
      </w:r>
      <w:r w:rsidR="00D502F3">
        <w:rPr>
          <w:rFonts w:ascii="Arial" w:eastAsia="Arial" w:hAnsi="Arial"/>
          <w:color w:val="000000"/>
          <w:sz w:val="24"/>
          <w:szCs w:val="24"/>
        </w:rPr>
        <w:t xml:space="preserve"> from time to time</w:t>
      </w:r>
      <w:r>
        <w:rPr>
          <w:rFonts w:ascii="Arial" w:eastAsia="Arial" w:hAnsi="Arial"/>
          <w:color w:val="000000"/>
          <w:sz w:val="24"/>
          <w:szCs w:val="24"/>
        </w:rPr>
        <w:t xml:space="preserve">. </w:t>
      </w:r>
    </w:p>
    <w:p w14:paraId="00000068" w14:textId="77777777" w:rsidR="004D6CD8" w:rsidRDefault="004D6CD8">
      <w:pPr>
        <w:pBdr>
          <w:top w:val="nil"/>
          <w:left w:val="nil"/>
          <w:bottom w:val="nil"/>
          <w:right w:val="nil"/>
          <w:between w:val="nil"/>
        </w:pBdr>
        <w:spacing w:before="120" w:after="120"/>
        <w:jc w:val="left"/>
        <w:rPr>
          <w:rFonts w:ascii="Arial" w:eastAsia="Arial" w:hAnsi="Arial"/>
          <w:sz w:val="24"/>
          <w:szCs w:val="24"/>
        </w:rPr>
      </w:pPr>
    </w:p>
    <w:p w14:paraId="00000069" w14:textId="77777777" w:rsidR="004D6CD8" w:rsidRDefault="000D370D">
      <w:pPr>
        <w:rPr>
          <w:rFonts w:ascii="Arial" w:eastAsia="Arial" w:hAnsi="Arial"/>
          <w:sz w:val="24"/>
          <w:szCs w:val="24"/>
        </w:rPr>
      </w:pPr>
      <w:r>
        <w:br w:type="page"/>
      </w:r>
    </w:p>
    <w:p w14:paraId="0000006A" w14:textId="77777777" w:rsidR="004D6CD8" w:rsidRDefault="000D370D">
      <w:pPr>
        <w:pBdr>
          <w:top w:val="nil"/>
          <w:left w:val="nil"/>
          <w:bottom w:val="nil"/>
          <w:right w:val="nil"/>
          <w:between w:val="nil"/>
        </w:pBdr>
        <w:spacing w:before="120" w:after="120"/>
        <w:jc w:val="left"/>
        <w:rPr>
          <w:rFonts w:ascii="Arial" w:eastAsia="Arial" w:hAnsi="Arial"/>
          <w:b/>
          <w:sz w:val="24"/>
          <w:szCs w:val="24"/>
        </w:rPr>
      </w:pPr>
      <w:r>
        <w:rPr>
          <w:rFonts w:ascii="Arial" w:eastAsia="Arial" w:hAnsi="Arial"/>
          <w:b/>
          <w:sz w:val="24"/>
          <w:szCs w:val="24"/>
        </w:rPr>
        <w:lastRenderedPageBreak/>
        <w:t>Annex 1 - Billable Works and Approval Process</w:t>
      </w:r>
    </w:p>
    <w:p w14:paraId="12E96D49" w14:textId="3B0CD4ED" w:rsidR="00850491" w:rsidRDefault="00C07B42" w:rsidP="00C07B42">
      <w:pPr>
        <w:pBdr>
          <w:top w:val="nil"/>
          <w:left w:val="nil"/>
          <w:bottom w:val="nil"/>
          <w:right w:val="nil"/>
          <w:between w:val="nil"/>
        </w:pBdr>
        <w:spacing w:before="120" w:after="120"/>
        <w:jc w:val="left"/>
        <w:rPr>
          <w:rFonts w:ascii="Arial" w:eastAsia="Arial" w:hAnsi="Arial"/>
          <w:sz w:val="24"/>
          <w:szCs w:val="24"/>
        </w:rPr>
      </w:pPr>
      <w:r>
        <w:rPr>
          <w:rFonts w:ascii="Arial" w:eastAsia="Arial" w:hAnsi="Arial"/>
          <w:sz w:val="24"/>
          <w:szCs w:val="24"/>
        </w:rPr>
        <w:t>The Billable Works and Approval Process is illustrated by the following</w:t>
      </w:r>
      <w:r w:rsidR="00850491">
        <w:rPr>
          <w:rFonts w:ascii="Arial" w:eastAsia="Arial" w:hAnsi="Arial"/>
          <w:sz w:val="24"/>
          <w:szCs w:val="24"/>
        </w:rPr>
        <w:t xml:space="preserve"> process maps</w:t>
      </w:r>
      <w:r>
        <w:rPr>
          <w:rFonts w:ascii="Arial" w:eastAsia="Arial" w:hAnsi="Arial"/>
          <w:sz w:val="24"/>
          <w:szCs w:val="24"/>
        </w:rPr>
        <w:t>:</w:t>
      </w:r>
    </w:p>
    <w:p w14:paraId="5ACC9648" w14:textId="4D682ABA" w:rsidR="00B065A1" w:rsidRPr="008E7BE5" w:rsidRDefault="00B065A1">
      <w:pPr>
        <w:pBdr>
          <w:top w:val="nil"/>
          <w:left w:val="nil"/>
          <w:bottom w:val="nil"/>
          <w:right w:val="nil"/>
          <w:between w:val="nil"/>
        </w:pBdr>
        <w:spacing w:before="120" w:after="120"/>
        <w:jc w:val="left"/>
        <w:rPr>
          <w:rFonts w:ascii="Arial" w:eastAsia="Arial" w:hAnsi="Arial"/>
          <w:b/>
          <w:i/>
          <w:sz w:val="24"/>
          <w:szCs w:val="24"/>
        </w:rPr>
      </w:pPr>
    </w:p>
    <w:p w14:paraId="260AD7D6" w14:textId="286A47E1" w:rsidR="00C07B42" w:rsidRDefault="00D6298C" w:rsidP="008E7BE5">
      <w:pPr>
        <w:pBdr>
          <w:top w:val="nil"/>
          <w:left w:val="nil"/>
          <w:bottom w:val="nil"/>
          <w:right w:val="nil"/>
          <w:between w:val="nil"/>
        </w:pBdr>
        <w:spacing w:before="120" w:after="120"/>
        <w:jc w:val="left"/>
        <w:rPr>
          <w:rFonts w:ascii="Arial" w:eastAsia="Arial" w:hAnsi="Arial"/>
          <w:sz w:val="24"/>
          <w:szCs w:val="24"/>
        </w:rPr>
      </w:pPr>
      <w:r w:rsidRPr="00436A61">
        <w:rPr>
          <w:rFonts w:ascii="Arial" w:eastAsia="Arial" w:hAnsi="Arial"/>
          <w:sz w:val="24"/>
          <w:szCs w:val="24"/>
        </w:rPr>
        <w:t xml:space="preserve"> </w:t>
      </w:r>
      <w:bookmarkStart w:id="13" w:name="_GoBack"/>
      <w:bookmarkEnd w:id="13"/>
    </w:p>
    <w:p w14:paraId="3F5E8FDB" w14:textId="1617B1C0" w:rsidR="00D6298C" w:rsidRPr="00436A61" w:rsidRDefault="00D6298C" w:rsidP="008E7BE5">
      <w:pPr>
        <w:pBdr>
          <w:top w:val="nil"/>
          <w:left w:val="nil"/>
          <w:bottom w:val="nil"/>
          <w:right w:val="nil"/>
          <w:between w:val="nil"/>
        </w:pBdr>
        <w:spacing w:before="120" w:after="120"/>
        <w:jc w:val="left"/>
        <w:rPr>
          <w:rFonts w:ascii="Arial" w:eastAsia="Arial" w:hAnsi="Arial"/>
          <w:sz w:val="24"/>
          <w:szCs w:val="24"/>
        </w:rPr>
      </w:pPr>
    </w:p>
    <w:p w14:paraId="169A0BEF" w14:textId="30C507DF" w:rsidR="00D6298C" w:rsidRDefault="00D6298C" w:rsidP="008E7BE5">
      <w:pPr>
        <w:pStyle w:val="ListParagraph"/>
        <w:pBdr>
          <w:top w:val="nil"/>
          <w:left w:val="nil"/>
          <w:bottom w:val="nil"/>
          <w:right w:val="nil"/>
          <w:between w:val="nil"/>
        </w:pBdr>
        <w:spacing w:before="120" w:after="120"/>
        <w:jc w:val="left"/>
        <w:rPr>
          <w:rFonts w:ascii="Arial" w:eastAsia="Arial" w:hAnsi="Arial"/>
          <w:sz w:val="24"/>
          <w:szCs w:val="24"/>
        </w:rPr>
      </w:pPr>
    </w:p>
    <w:p w14:paraId="04E0B9FF" w14:textId="77777777" w:rsidR="00C07B42" w:rsidRDefault="00C07B42">
      <w:pPr>
        <w:overflowPunct/>
        <w:autoSpaceDE/>
        <w:autoSpaceDN/>
        <w:adjustRightInd/>
        <w:textAlignment w:val="auto"/>
        <w:rPr>
          <w:rFonts w:ascii="Arial" w:eastAsia="Arial" w:hAnsi="Arial"/>
          <w:sz w:val="24"/>
          <w:szCs w:val="24"/>
        </w:rPr>
      </w:pPr>
    </w:p>
    <w:p w14:paraId="653F94C8" w14:textId="77777777" w:rsidR="00C07B42" w:rsidRDefault="00C07B42">
      <w:pPr>
        <w:overflowPunct/>
        <w:autoSpaceDE/>
        <w:autoSpaceDN/>
        <w:adjustRightInd/>
        <w:textAlignment w:val="auto"/>
        <w:rPr>
          <w:rFonts w:ascii="Arial" w:eastAsia="Arial" w:hAnsi="Arial"/>
          <w:sz w:val="24"/>
          <w:szCs w:val="24"/>
        </w:rPr>
      </w:pPr>
    </w:p>
    <w:p w14:paraId="17E3AD7F" w14:textId="77777777" w:rsidR="002312A6" w:rsidRDefault="002312A6">
      <w:pPr>
        <w:overflowPunct/>
        <w:autoSpaceDE/>
        <w:autoSpaceDN/>
        <w:adjustRightInd/>
        <w:textAlignment w:val="auto"/>
        <w:rPr>
          <w:rFonts w:ascii="Arial" w:eastAsia="Arial" w:hAnsi="Arial"/>
          <w:sz w:val="24"/>
          <w:szCs w:val="24"/>
        </w:rPr>
        <w:sectPr w:rsidR="002312A6" w:rsidSect="00B07D6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pPr>
    </w:p>
    <w:p w14:paraId="1359F1C8" w14:textId="6BBA1C84" w:rsidR="002312A6" w:rsidRDefault="002312A6" w:rsidP="002312A6">
      <w:pPr>
        <w:overflowPunct/>
        <w:autoSpaceDE/>
        <w:autoSpaceDN/>
        <w:adjustRightInd/>
        <w:textAlignment w:val="auto"/>
        <w:rPr>
          <w:rFonts w:ascii="Arial" w:eastAsia="Arial" w:hAnsi="Arial"/>
          <w:sz w:val="24"/>
          <w:szCs w:val="24"/>
        </w:rPr>
      </w:pPr>
      <w:r w:rsidRPr="008E7BE5">
        <w:rPr>
          <w:rFonts w:ascii="Arial" w:eastAsia="Arial" w:hAnsi="Arial"/>
          <w:b/>
          <w:sz w:val="24"/>
          <w:szCs w:val="24"/>
        </w:rPr>
        <w:lastRenderedPageBreak/>
        <w:t>Process Map 1:</w:t>
      </w:r>
      <w:r w:rsidRPr="00CA6D7C">
        <w:rPr>
          <w:rFonts w:ascii="Arial" w:eastAsia="Arial" w:hAnsi="Arial"/>
          <w:sz w:val="24"/>
          <w:szCs w:val="24"/>
        </w:rPr>
        <w:t xml:space="preserve"> </w:t>
      </w:r>
      <w:r w:rsidRPr="002A5246">
        <w:rPr>
          <w:b/>
          <w:sz w:val="28"/>
          <w:szCs w:val="28"/>
        </w:rPr>
        <w:t>Billable Works and Approval Process</w:t>
      </w:r>
    </w:p>
    <w:p w14:paraId="51A279A7" w14:textId="154E1999" w:rsidR="002312A6" w:rsidRDefault="00EE5559">
      <w:pPr>
        <w:overflowPunct/>
        <w:autoSpaceDE/>
        <w:autoSpaceDN/>
        <w:adjustRightInd/>
        <w:textAlignment w:val="auto"/>
        <w:rPr>
          <w:rFonts w:ascii="Arial" w:eastAsia="Arial" w:hAnsi="Arial"/>
          <w:sz w:val="24"/>
          <w:szCs w:val="24"/>
        </w:rPr>
      </w:pPr>
      <w:r>
        <w:rPr>
          <w:rFonts w:ascii="Arial" w:hAnsi="Arial"/>
          <w:color w:val="000000"/>
          <w:sz w:val="20"/>
          <w:szCs w:val="20"/>
        </w:rPr>
        <w:t>REDACTED TEXT under FOIA Section 43 Commercial Interests.</w:t>
      </w:r>
    </w:p>
    <w:p w14:paraId="70452E72" w14:textId="2BFADAA3" w:rsidR="002312A6" w:rsidRDefault="002312A6">
      <w:pPr>
        <w:overflowPunct/>
        <w:autoSpaceDE/>
        <w:autoSpaceDN/>
        <w:adjustRightInd/>
        <w:textAlignment w:val="auto"/>
        <w:rPr>
          <w:rFonts w:ascii="Arial" w:eastAsia="Arial" w:hAnsi="Arial"/>
          <w:sz w:val="24"/>
          <w:szCs w:val="24"/>
        </w:rPr>
      </w:pPr>
      <w:r>
        <w:rPr>
          <w:rFonts w:ascii="Arial" w:eastAsia="Arial" w:hAnsi="Arial"/>
          <w:sz w:val="24"/>
          <w:szCs w:val="24"/>
        </w:rPr>
        <w:br w:type="page"/>
      </w:r>
    </w:p>
    <w:p w14:paraId="1776A49F" w14:textId="30CAD474" w:rsidR="00C07B42" w:rsidRPr="008E7BE5" w:rsidRDefault="00C07B42">
      <w:pPr>
        <w:overflowPunct/>
        <w:autoSpaceDE/>
        <w:autoSpaceDN/>
        <w:adjustRightInd/>
        <w:textAlignment w:val="auto"/>
        <w:rPr>
          <w:rFonts w:ascii="Arial" w:eastAsia="Arial" w:hAnsi="Arial"/>
          <w:b/>
          <w:sz w:val="24"/>
          <w:szCs w:val="24"/>
        </w:rPr>
      </w:pPr>
      <w:r w:rsidRPr="008E7BE5">
        <w:rPr>
          <w:rFonts w:ascii="Arial" w:eastAsia="Arial" w:hAnsi="Arial"/>
          <w:b/>
          <w:sz w:val="24"/>
          <w:szCs w:val="24"/>
        </w:rPr>
        <w:lastRenderedPageBreak/>
        <w:t>Process Map 2: GPA Process Map Reactive Work Orders</w:t>
      </w:r>
    </w:p>
    <w:p w14:paraId="353DABF1" w14:textId="12C008DE" w:rsidR="00C07B42" w:rsidRDefault="00EE5559">
      <w:pPr>
        <w:overflowPunct/>
        <w:autoSpaceDE/>
        <w:autoSpaceDN/>
        <w:adjustRightInd/>
        <w:textAlignment w:val="auto"/>
        <w:rPr>
          <w:rFonts w:ascii="Arial" w:eastAsia="Arial" w:hAnsi="Arial"/>
          <w:sz w:val="24"/>
          <w:szCs w:val="24"/>
        </w:rPr>
      </w:pPr>
      <w:r>
        <w:rPr>
          <w:rFonts w:ascii="Arial" w:hAnsi="Arial"/>
          <w:color w:val="000000"/>
          <w:sz w:val="20"/>
          <w:szCs w:val="20"/>
        </w:rPr>
        <w:t>REDACTED TEXT under FOIA Section 43 Commercial Interests.</w:t>
      </w:r>
    </w:p>
    <w:p w14:paraId="11CBB8C7" w14:textId="2E37FEFB" w:rsidR="00C07B42" w:rsidRDefault="00C07B42">
      <w:pPr>
        <w:overflowPunct/>
        <w:autoSpaceDE/>
        <w:autoSpaceDN/>
        <w:adjustRightInd/>
        <w:textAlignment w:val="auto"/>
        <w:rPr>
          <w:rFonts w:ascii="Arial" w:eastAsia="Arial" w:hAnsi="Arial"/>
          <w:sz w:val="24"/>
          <w:szCs w:val="24"/>
        </w:rPr>
      </w:pPr>
      <w:r>
        <w:rPr>
          <w:rFonts w:ascii="Arial" w:eastAsia="Arial" w:hAnsi="Arial"/>
          <w:sz w:val="24"/>
          <w:szCs w:val="24"/>
        </w:rPr>
        <w:br w:type="page"/>
      </w:r>
    </w:p>
    <w:p w14:paraId="01BE91F7" w14:textId="3037844E" w:rsidR="00C07B42" w:rsidRPr="008E7BE5" w:rsidRDefault="00C07B42" w:rsidP="002312A6">
      <w:pPr>
        <w:pStyle w:val="ListParagraph"/>
        <w:pBdr>
          <w:top w:val="nil"/>
          <w:left w:val="nil"/>
          <w:bottom w:val="nil"/>
          <w:right w:val="nil"/>
          <w:between w:val="nil"/>
        </w:pBdr>
        <w:spacing w:before="120" w:after="120"/>
        <w:ind w:left="0"/>
        <w:jc w:val="left"/>
        <w:rPr>
          <w:rFonts w:ascii="Arial" w:eastAsia="Arial" w:hAnsi="Arial"/>
          <w:b/>
          <w:sz w:val="24"/>
          <w:szCs w:val="24"/>
        </w:rPr>
      </w:pPr>
      <w:r w:rsidRPr="008E7BE5">
        <w:rPr>
          <w:rFonts w:ascii="Arial" w:eastAsia="Arial" w:hAnsi="Arial"/>
          <w:b/>
          <w:sz w:val="24"/>
          <w:szCs w:val="24"/>
        </w:rPr>
        <w:lastRenderedPageBreak/>
        <w:t>Process Map 3: GPA Process Map Additional Billable Work</w:t>
      </w:r>
      <w:r w:rsidR="002312A6">
        <w:rPr>
          <w:rFonts w:ascii="Arial" w:eastAsia="Arial" w:hAnsi="Arial"/>
          <w:b/>
          <w:sz w:val="24"/>
          <w:szCs w:val="24"/>
        </w:rPr>
        <w:t xml:space="preserve"> </w:t>
      </w:r>
      <w:r w:rsidR="002312A6" w:rsidRPr="002A5246">
        <w:rPr>
          <w:b/>
          <w:sz w:val="28"/>
          <w:szCs w:val="28"/>
        </w:rPr>
        <w:t>(PLEASE SEE ORDER FORM FOR BILLABLE WORKS VALUES)</w:t>
      </w:r>
    </w:p>
    <w:p w14:paraId="74339DE3" w14:textId="77777777" w:rsidR="002312A6" w:rsidRDefault="002312A6" w:rsidP="002312A6">
      <w:pPr>
        <w:pStyle w:val="ListParagraph"/>
        <w:pBdr>
          <w:top w:val="nil"/>
          <w:left w:val="nil"/>
          <w:bottom w:val="nil"/>
          <w:right w:val="nil"/>
          <w:between w:val="nil"/>
        </w:pBdr>
        <w:spacing w:before="120" w:after="120"/>
        <w:ind w:left="0"/>
        <w:jc w:val="left"/>
        <w:rPr>
          <w:rFonts w:ascii="Arial" w:eastAsia="Arial" w:hAnsi="Arial"/>
          <w:sz w:val="24"/>
          <w:szCs w:val="24"/>
        </w:rPr>
      </w:pPr>
    </w:p>
    <w:p w14:paraId="6E5FE147" w14:textId="446A53E5" w:rsidR="00C07B42" w:rsidRDefault="00EE5559">
      <w:pPr>
        <w:overflowPunct/>
        <w:autoSpaceDE/>
        <w:autoSpaceDN/>
        <w:adjustRightInd/>
        <w:textAlignment w:val="auto"/>
        <w:rPr>
          <w:rFonts w:ascii="Arial" w:eastAsia="Arial" w:hAnsi="Arial"/>
          <w:sz w:val="24"/>
          <w:szCs w:val="24"/>
        </w:rPr>
      </w:pPr>
      <w:r>
        <w:rPr>
          <w:rFonts w:ascii="Arial" w:hAnsi="Arial"/>
          <w:color w:val="000000"/>
          <w:sz w:val="20"/>
          <w:szCs w:val="20"/>
        </w:rPr>
        <w:t>REDACTED TEXT under FOIA Section 43 Commercial Interests.</w:t>
      </w:r>
    </w:p>
    <w:p w14:paraId="7D49E25B" w14:textId="77777777" w:rsidR="00C07B42" w:rsidRPr="008E7BE5" w:rsidRDefault="00C07B42" w:rsidP="008E7BE5">
      <w:pPr>
        <w:pStyle w:val="ListParagraph"/>
        <w:pBdr>
          <w:top w:val="nil"/>
          <w:left w:val="nil"/>
          <w:bottom w:val="nil"/>
          <w:right w:val="nil"/>
          <w:between w:val="nil"/>
        </w:pBdr>
        <w:spacing w:before="120" w:after="120"/>
        <w:jc w:val="left"/>
        <w:rPr>
          <w:rFonts w:ascii="Arial" w:eastAsia="Arial" w:hAnsi="Arial"/>
          <w:sz w:val="24"/>
          <w:szCs w:val="24"/>
        </w:rPr>
      </w:pPr>
    </w:p>
    <w:sectPr w:rsidR="00C07B42" w:rsidRPr="008E7BE5" w:rsidSect="00B07D62">
      <w:pgSz w:w="16838" w:h="11906" w:orient="landscape"/>
      <w:pgMar w:top="1440" w:right="1440" w:bottom="1440" w:left="144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7D789" w14:textId="77777777" w:rsidR="00B07D62" w:rsidRDefault="00B07D62">
      <w:pPr>
        <w:spacing w:after="0"/>
      </w:pPr>
      <w:r>
        <w:separator/>
      </w:r>
    </w:p>
  </w:endnote>
  <w:endnote w:type="continuationSeparator" w:id="0">
    <w:p w14:paraId="4A724164" w14:textId="77777777" w:rsidR="00B07D62" w:rsidRDefault="00B07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D" w14:textId="77777777" w:rsidR="004D6CD8" w:rsidRDefault="004D6CD8">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1DEC2" w14:textId="77777777" w:rsidR="008E7BE5" w:rsidRPr="008E7BE5" w:rsidRDefault="008E7BE5" w:rsidP="008E7BE5">
    <w:pPr>
      <w:pStyle w:val="BodyText"/>
      <w:tabs>
        <w:tab w:val="right" w:pos="9026"/>
      </w:tabs>
      <w:spacing w:after="0"/>
      <w:rPr>
        <w:rFonts w:ascii="Arial" w:hAnsi="Arial"/>
      </w:rPr>
    </w:pPr>
    <w:r w:rsidRPr="008E7BE5">
      <w:rPr>
        <w:rFonts w:ascii="Arial" w:hAnsi="Arial"/>
      </w:rPr>
      <w:t>DPS Ref: RM6264</w:t>
    </w:r>
  </w:p>
  <w:p w14:paraId="070BA13B" w14:textId="4C1C6CF7" w:rsidR="008E7BE5" w:rsidRPr="008E7BE5" w:rsidRDefault="008E7BE5" w:rsidP="008E7BE5">
    <w:pPr>
      <w:pStyle w:val="BodyText"/>
      <w:tabs>
        <w:tab w:val="right" w:pos="9026"/>
      </w:tabs>
      <w:spacing w:after="0"/>
      <w:rPr>
        <w:rFonts w:ascii="Arial" w:hAnsi="Arial"/>
      </w:rPr>
    </w:pPr>
    <w:r w:rsidRPr="008E7BE5">
      <w:rPr>
        <w:rFonts w:ascii="Arial" w:hAnsi="Arial"/>
      </w:rPr>
      <w:t>GPA WBS Bid Pack, Attachment 4 – Version: v1.0</w:t>
    </w:r>
    <w:r w:rsidRPr="008E7BE5">
      <w:rPr>
        <w:rFonts w:ascii="Arial" w:hAnsi="Arial"/>
      </w:rPr>
      <w:tab/>
    </w:r>
    <w:r w:rsidRPr="008E7BE5">
      <w:rPr>
        <w:rFonts w:ascii="Arial" w:hAnsi="Arial"/>
      </w:rPr>
      <w:fldChar w:fldCharType="begin"/>
    </w:r>
    <w:r w:rsidRPr="008E7BE5">
      <w:rPr>
        <w:rFonts w:ascii="Arial" w:hAnsi="Arial"/>
      </w:rPr>
      <w:instrText>PAGE</w:instrText>
    </w:r>
    <w:r w:rsidRPr="008E7BE5">
      <w:rPr>
        <w:rFonts w:ascii="Arial" w:hAnsi="Arial"/>
      </w:rPr>
      <w:fldChar w:fldCharType="separate"/>
    </w:r>
    <w:r w:rsidR="0015636A">
      <w:rPr>
        <w:rFonts w:ascii="Arial" w:hAnsi="Arial"/>
        <w:noProof/>
      </w:rPr>
      <w:t>1</w:t>
    </w:r>
    <w:r w:rsidRPr="008E7BE5">
      <w:rPr>
        <w:rFonts w:ascii="Arial" w:hAnsi="Arial"/>
      </w:rPr>
      <w:fldChar w:fldCharType="end"/>
    </w:r>
  </w:p>
  <w:p w14:paraId="64350582" w14:textId="77777777" w:rsidR="008E7BE5" w:rsidRPr="008E7BE5" w:rsidRDefault="008E7BE5" w:rsidP="008E7BE5">
    <w:pPr>
      <w:pStyle w:val="BodyText"/>
      <w:tabs>
        <w:tab w:val="right" w:pos="9026"/>
      </w:tabs>
      <w:spacing w:after="0"/>
      <w:rPr>
        <w:rFonts w:ascii="Arial" w:hAnsi="Arial"/>
      </w:rPr>
    </w:pPr>
    <w:r w:rsidRPr="008E7BE5">
      <w:rPr>
        <w:rFonts w:ascii="Arial" w:hAnsi="Arial"/>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E" w14:textId="77777777" w:rsidR="004D6CD8" w:rsidRDefault="004D6CD8">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56763" w14:textId="77777777" w:rsidR="00B07D62" w:rsidRDefault="00B07D62">
      <w:pPr>
        <w:spacing w:after="0"/>
      </w:pPr>
      <w:r>
        <w:separator/>
      </w:r>
    </w:p>
  </w:footnote>
  <w:footnote w:type="continuationSeparator" w:id="0">
    <w:p w14:paraId="190FFC4E" w14:textId="77777777" w:rsidR="00B07D62" w:rsidRDefault="00B07D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B" w14:textId="77777777" w:rsidR="004D6CD8" w:rsidRDefault="004D6CD8">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6" w14:textId="77777777" w:rsidR="004D6CD8" w:rsidRDefault="000D370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w:t>
    </w:r>
    <w:r>
      <w:rPr>
        <w:rFonts w:ascii="Arial" w:eastAsia="Arial" w:hAnsi="Arial"/>
        <w:b/>
        <w:color w:val="000000"/>
        <w:sz w:val="20"/>
        <w:szCs w:val="20"/>
        <w:highlight w:val="white"/>
      </w:rPr>
      <w:t xml:space="preserve"> </w:t>
    </w:r>
    <w:r>
      <w:rPr>
        <w:rFonts w:ascii="Arial" w:eastAsia="Arial" w:hAnsi="Arial"/>
        <w:b/>
        <w:sz w:val="20"/>
        <w:szCs w:val="20"/>
        <w:highlight w:val="white"/>
      </w:rPr>
      <w:t>25</w:t>
    </w:r>
    <w:r>
      <w:rPr>
        <w:rFonts w:ascii="Arial" w:eastAsia="Arial" w:hAnsi="Arial"/>
        <w:b/>
        <w:color w:val="000000"/>
        <w:sz w:val="20"/>
        <w:szCs w:val="20"/>
      </w:rPr>
      <w:t xml:space="preserve"> (Billable Works and Projects) </w:t>
    </w:r>
  </w:p>
  <w:p w14:paraId="00000077" w14:textId="77777777" w:rsidR="004D6CD8" w:rsidRDefault="000D370D">
    <w:pPr>
      <w:tabs>
        <w:tab w:val="center" w:pos="4513"/>
        <w:tab w:val="right" w:pos="9026"/>
      </w:tabs>
      <w:spacing w:after="0"/>
      <w:jc w:val="left"/>
      <w:rPr>
        <w:rFonts w:ascii="Arial" w:eastAsia="Arial" w:hAnsi="Arial"/>
        <w:sz w:val="20"/>
        <w:szCs w:val="20"/>
      </w:rPr>
    </w:pPr>
    <w:r>
      <w:rPr>
        <w:rFonts w:ascii="Arial" w:eastAsia="Arial" w:hAnsi="Arial"/>
        <w:sz w:val="20"/>
        <w:szCs w:val="20"/>
      </w:rPr>
      <w:t>Order Ref:</w:t>
    </w:r>
  </w:p>
  <w:p w14:paraId="00000078" w14:textId="77777777" w:rsidR="004D6CD8" w:rsidRDefault="000D370D">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2022</w:t>
    </w:r>
  </w:p>
  <w:p w14:paraId="00000079" w14:textId="77777777" w:rsidR="004D6CD8" w:rsidRDefault="004D6CD8">
    <w:pPr>
      <w:pBdr>
        <w:top w:val="nil"/>
        <w:left w:val="nil"/>
        <w:bottom w:val="nil"/>
        <w:right w:val="nil"/>
        <w:between w:val="nil"/>
      </w:pBdr>
      <w:tabs>
        <w:tab w:val="center" w:pos="4513"/>
        <w:tab w:val="right" w:pos="9026"/>
      </w:tabs>
      <w:spacing w:after="0"/>
      <w:rPr>
        <w:color w:val="000000"/>
      </w:rPr>
    </w:pPr>
  </w:p>
  <w:p w14:paraId="0000007A" w14:textId="77777777" w:rsidR="004D6CD8" w:rsidRDefault="004D6CD8">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C" w14:textId="77777777" w:rsidR="004D6CD8" w:rsidRDefault="004D6CD8">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85F46"/>
    <w:multiLevelType w:val="multilevel"/>
    <w:tmpl w:val="75047DA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F955E16"/>
    <w:multiLevelType w:val="hybridMultilevel"/>
    <w:tmpl w:val="977E5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DA77A9"/>
    <w:multiLevelType w:val="hybridMultilevel"/>
    <w:tmpl w:val="C5B8A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3E63BA"/>
    <w:multiLevelType w:val="multilevel"/>
    <w:tmpl w:val="308E405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pStyle w:val="GPSL5numberedclause"/>
      <w:lvlText w:val="(%5)"/>
      <w:lvlJc w:val="left"/>
      <w:pPr>
        <w:ind w:left="324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FEB2FC2"/>
    <w:multiLevelType w:val="hybridMultilevel"/>
    <w:tmpl w:val="C9C06BB0"/>
    <w:lvl w:ilvl="0" w:tplc="0809000F">
      <w:start w:val="1"/>
      <w:numFmt w:val="decimal"/>
      <w:lvlText w:val="%1."/>
      <w:lvlJc w:val="left"/>
      <w:pPr>
        <w:ind w:left="784" w:hanging="360"/>
      </w:p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5" w15:restartNumberingAfterBreak="0">
    <w:nsid w:val="6BC12748"/>
    <w:multiLevelType w:val="hybridMultilevel"/>
    <w:tmpl w:val="03A2A0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CD8"/>
    <w:rsid w:val="00050E87"/>
    <w:rsid w:val="0008635F"/>
    <w:rsid w:val="000951F3"/>
    <w:rsid w:val="000D370D"/>
    <w:rsid w:val="001346F9"/>
    <w:rsid w:val="00151253"/>
    <w:rsid w:val="001552FC"/>
    <w:rsid w:val="0015636A"/>
    <w:rsid w:val="00165B08"/>
    <w:rsid w:val="00170898"/>
    <w:rsid w:val="00172B0E"/>
    <w:rsid w:val="00207041"/>
    <w:rsid w:val="002312A6"/>
    <w:rsid w:val="00241115"/>
    <w:rsid w:val="002F2A8A"/>
    <w:rsid w:val="003C230D"/>
    <w:rsid w:val="003D6713"/>
    <w:rsid w:val="00436A61"/>
    <w:rsid w:val="0048595F"/>
    <w:rsid w:val="004D6CD8"/>
    <w:rsid w:val="00527500"/>
    <w:rsid w:val="00567BB9"/>
    <w:rsid w:val="00567C88"/>
    <w:rsid w:val="00587A4C"/>
    <w:rsid w:val="005D1137"/>
    <w:rsid w:val="005D1B9D"/>
    <w:rsid w:val="005D6656"/>
    <w:rsid w:val="00634B6F"/>
    <w:rsid w:val="00670C58"/>
    <w:rsid w:val="006B54F8"/>
    <w:rsid w:val="006E16E4"/>
    <w:rsid w:val="006F6FF7"/>
    <w:rsid w:val="0071502D"/>
    <w:rsid w:val="0071534C"/>
    <w:rsid w:val="00725C03"/>
    <w:rsid w:val="007265D4"/>
    <w:rsid w:val="00776F68"/>
    <w:rsid w:val="007960CE"/>
    <w:rsid w:val="007F6D52"/>
    <w:rsid w:val="00841FA6"/>
    <w:rsid w:val="00850491"/>
    <w:rsid w:val="008701EB"/>
    <w:rsid w:val="00894068"/>
    <w:rsid w:val="008B3711"/>
    <w:rsid w:val="008E7BE5"/>
    <w:rsid w:val="009201CB"/>
    <w:rsid w:val="009216E3"/>
    <w:rsid w:val="00962980"/>
    <w:rsid w:val="00A0082E"/>
    <w:rsid w:val="00A52C1A"/>
    <w:rsid w:val="00A5363A"/>
    <w:rsid w:val="00A7779D"/>
    <w:rsid w:val="00AF024D"/>
    <w:rsid w:val="00AF29A6"/>
    <w:rsid w:val="00B065A1"/>
    <w:rsid w:val="00B07D62"/>
    <w:rsid w:val="00B54D0F"/>
    <w:rsid w:val="00B86721"/>
    <w:rsid w:val="00BF26B5"/>
    <w:rsid w:val="00C07B42"/>
    <w:rsid w:val="00C14A10"/>
    <w:rsid w:val="00C57D6E"/>
    <w:rsid w:val="00C6509C"/>
    <w:rsid w:val="00C654C1"/>
    <w:rsid w:val="00CC4113"/>
    <w:rsid w:val="00CC7786"/>
    <w:rsid w:val="00D4589B"/>
    <w:rsid w:val="00D502F3"/>
    <w:rsid w:val="00D6298C"/>
    <w:rsid w:val="00DE2932"/>
    <w:rsid w:val="00DE2B58"/>
    <w:rsid w:val="00E47F01"/>
    <w:rsid w:val="00E50818"/>
    <w:rsid w:val="00E65BE0"/>
    <w:rsid w:val="00E74EDB"/>
    <w:rsid w:val="00EB5708"/>
    <w:rsid w:val="00EE1617"/>
    <w:rsid w:val="00EE5559"/>
    <w:rsid w:val="00F53243"/>
    <w:rsid w:val="00FA42D7"/>
    <w:rsid w:val="00FD34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244E"/>
  <w15:docId w15:val="{10186D2A-6442-49A0-821B-94E3F5A5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customStyle="1" w:styleId="GPSL1CLAUSEHEADING">
    <w:name w:val="GPS L1 CLAUSE HEADING"/>
    <w:basedOn w:val="Normal"/>
    <w:next w:val="Normal"/>
    <w:link w:val="GPSL1CLAUSEHEADINGChar"/>
    <w:qFormat/>
    <w:pPr>
      <w:numPr>
        <w:numId w:val="2"/>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2"/>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pPr>
    <w:rPr>
      <w:rFonts w:eastAsia="Times New Roman"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36D6C"/>
    <w:pPr>
      <w:ind w:left="720"/>
      <w:contextualSpacing/>
    </w:pPr>
  </w:style>
  <w:style w:type="paragraph" w:customStyle="1" w:styleId="Body2">
    <w:name w:val="Body2"/>
    <w:qFormat/>
    <w:rsid w:val="00AF024D"/>
    <w:pPr>
      <w:spacing w:after="280" w:line="280" w:lineRule="atLeast"/>
      <w:ind w:left="709"/>
    </w:pPr>
    <w:rPr>
      <w:rFonts w:ascii="Arial" w:eastAsiaTheme="minorHAnsi" w:hAnsi="Arial" w:cstheme="minorBidi"/>
      <w:sz w:val="20"/>
      <w:szCs w:val="20"/>
      <w:lang w:eastAsia="en-US"/>
    </w:rPr>
  </w:style>
  <w:style w:type="paragraph" w:styleId="BodyText">
    <w:name w:val="Body Text"/>
    <w:basedOn w:val="Normal"/>
    <w:link w:val="BodyTextChar"/>
    <w:uiPriority w:val="99"/>
    <w:semiHidden/>
    <w:unhideWhenUsed/>
    <w:rsid w:val="008E7BE5"/>
    <w:pPr>
      <w:spacing w:after="120"/>
    </w:pPr>
  </w:style>
  <w:style w:type="character" w:customStyle="1" w:styleId="BodyTextChar">
    <w:name w:val="Body Text Char"/>
    <w:basedOn w:val="DefaultParagraphFont"/>
    <w:link w:val="BodyText"/>
    <w:uiPriority w:val="99"/>
    <w:semiHidden/>
    <w:rsid w:val="008E7BE5"/>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2Nj7udjSLoKOidk+8Ul+d2wYA==">AMUW2mUh5GuUn4mdRJSg2QyT6ybePh3fpmAaXq9B3Fcmn+To/YHOoBLPLgA6RQSaRe4CPAYe93nMzBntz7SVpjIdLmB5ATlsd/kw3x+Uv9APkc39PXaEiZPCX1aWUdDrWL+gFR+173ZRZgxcI3mpIomrB6i7ZvGAjyXQ9VBWdMur5qxkdhlPrGx5ZXYdhjgkq4Jtr+Wor3e2MWiYN+W9U0bnGulL3jBJ/g==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5967C59-87B8-4B8A-92FF-DF8390674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2095</Words>
  <Characters>11943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Alex Jones2</cp:lastModifiedBy>
  <cp:revision>3</cp:revision>
  <dcterms:created xsi:type="dcterms:W3CDTF">2024-02-20T17:17:00Z</dcterms:created>
  <dcterms:modified xsi:type="dcterms:W3CDTF">2024-05-02T14:47:00Z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y fmtid="{D5CDD505-2E9C-101B-9397-08002B2CF9AE}" pid="3" name="tikitDocRef">
    <vt:lpwstr>LEGAL02#108385160v1[SMS03]</vt:lpwstr>
  </property>
  <property fmtid="{D5CDD505-2E9C-101B-9397-08002B2CF9AE}" pid="4" name="tikitDocNumber">
    <vt:lpwstr>108385160</vt:lpwstr>
  </property>
  <property fmtid="{D5CDD505-2E9C-101B-9397-08002B2CF9AE}" pid="5" name="tikitVersionNumber">
    <vt:lpwstr>1</vt:lpwstr>
  </property>
  <property fmtid="{D5CDD505-2E9C-101B-9397-08002B2CF9AE}" pid="6" name="tikitDocDescription">
    <vt:lpwstr>30 RM6264 DPS GPA WBS Order Schedule 25 Billable Works and Projects (Clean v0.1)</vt:lpwstr>
  </property>
  <property fmtid="{D5CDD505-2E9C-101B-9397-08002B2CF9AE}" pid="7" name="tikitAuthor">
    <vt:lpwstr/>
  </property>
  <property fmtid="{D5CDD505-2E9C-101B-9397-08002B2CF9AE}" pid="8" name="tikitAuthorID">
    <vt:lpwstr>SMS03</vt:lpwstr>
  </property>
  <property fmtid="{D5CDD505-2E9C-101B-9397-08002B2CF9AE}" pid="9" name="tikitTypistID">
    <vt:lpwstr>SMS03</vt:lpwstr>
  </property>
  <property fmtid="{D5CDD505-2E9C-101B-9397-08002B2CF9AE}" pid="10" name="tikitClientID">
    <vt:lpwstr>667195</vt:lpwstr>
  </property>
  <property fmtid="{D5CDD505-2E9C-101B-9397-08002B2CF9AE}" pid="11" name="tikitMatterID">
    <vt:lpwstr>2757820</vt:lpwstr>
  </property>
  <property fmtid="{D5CDD505-2E9C-101B-9397-08002B2CF9AE}" pid="12" name="tikitClientDescription">
    <vt:lpwstr>Government Property Agency</vt:lpwstr>
  </property>
  <property fmtid="{D5CDD505-2E9C-101B-9397-08002B2CF9AE}" pid="13" name="tikitMatterDescription">
    <vt:lpwstr>Whitehall Systems Operation and Maintenance</vt:lpwstr>
  </property>
</Properties>
</file>